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9F" w:rsidRPr="00AE5A9F" w:rsidRDefault="00350ED0" w:rsidP="00AE5A9F">
      <w:pPr>
        <w:spacing w:line="276" w:lineRule="auto"/>
        <w:jc w:val="both"/>
        <w:rPr>
          <w:rFonts w:asciiTheme="minorHAnsi" w:hAnsiTheme="minorHAnsi" w:cstheme="minorHAnsi"/>
          <w:b/>
          <w:bCs/>
          <w:sz w:val="23"/>
          <w:szCs w:val="23"/>
        </w:rPr>
      </w:pPr>
      <w:r w:rsidRPr="00AE5A9F">
        <w:rPr>
          <w:rFonts w:asciiTheme="minorHAnsi" w:hAnsiTheme="minorHAnsi" w:cstheme="minorHAnsi"/>
          <w:b/>
          <w:sz w:val="23"/>
          <w:szCs w:val="23"/>
        </w:rPr>
        <w:t xml:space="preserve">INFORME DE LA DIRECCIÓN GENERAL DE LA MUJER </w:t>
      </w:r>
      <w:r w:rsidR="00AE5A9F" w:rsidRPr="00AE5A9F">
        <w:rPr>
          <w:rFonts w:asciiTheme="minorHAnsi" w:hAnsiTheme="minorHAnsi" w:cstheme="minorHAnsi"/>
          <w:b/>
          <w:sz w:val="23"/>
          <w:szCs w:val="23"/>
        </w:rPr>
        <w:t>RELATIVO A LA EVALUACIÓN DE IMPACTO DE GÉNERO DEL</w:t>
      </w:r>
      <w:r w:rsidR="00292FAF" w:rsidRPr="00AE5A9F">
        <w:rPr>
          <w:rFonts w:asciiTheme="minorHAnsi" w:hAnsiTheme="minorHAnsi" w:cstheme="minorHAnsi"/>
          <w:b/>
          <w:sz w:val="23"/>
          <w:szCs w:val="23"/>
        </w:rPr>
        <w:t xml:space="preserve"> </w:t>
      </w:r>
      <w:r w:rsidR="00AE5A9F" w:rsidRPr="00AE5A9F">
        <w:rPr>
          <w:rFonts w:asciiTheme="minorHAnsi" w:hAnsiTheme="minorHAnsi" w:cstheme="minorHAnsi"/>
          <w:b/>
          <w:sz w:val="23"/>
          <w:szCs w:val="23"/>
        </w:rPr>
        <w:t>ANTE</w:t>
      </w:r>
      <w:r w:rsidR="00292FAF" w:rsidRPr="00AE5A9F">
        <w:rPr>
          <w:rFonts w:asciiTheme="minorHAnsi" w:hAnsiTheme="minorHAnsi" w:cstheme="minorHAnsi"/>
          <w:b/>
          <w:bCs/>
          <w:sz w:val="23"/>
          <w:szCs w:val="23"/>
        </w:rPr>
        <w:t xml:space="preserve">PROYECTO DE </w:t>
      </w:r>
      <w:r w:rsidR="00AE5A9F" w:rsidRPr="00AE5A9F">
        <w:rPr>
          <w:rFonts w:asciiTheme="minorHAnsi" w:hAnsiTheme="minorHAnsi" w:cstheme="minorHAnsi"/>
          <w:b/>
          <w:bCs/>
          <w:sz w:val="23"/>
          <w:szCs w:val="23"/>
        </w:rPr>
        <w:t xml:space="preserve">LEY </w:t>
      </w:r>
      <w:r w:rsidR="00AE5A9F" w:rsidRPr="00AE5A9F">
        <w:rPr>
          <w:rFonts w:asciiTheme="minorHAnsi" w:hAnsiTheme="minorHAnsi" w:cstheme="minorHAnsi"/>
          <w:b/>
          <w:sz w:val="23"/>
          <w:szCs w:val="23"/>
        </w:rPr>
        <w:t xml:space="preserve">POR EL QUE SE MODIFICA LA LEY 4/1998, DE 24 DE JUNIO, REGULADORA DEL JUEGO Y DE LAS APUESTAS DE CASTILLA Y LEÓN. </w:t>
      </w:r>
    </w:p>
    <w:p w:rsidR="008A2249" w:rsidRDefault="008A2249" w:rsidP="00AE5A9F">
      <w:pPr>
        <w:spacing w:line="276" w:lineRule="auto"/>
        <w:ind w:firstLine="708"/>
        <w:jc w:val="both"/>
        <w:rPr>
          <w:rFonts w:asciiTheme="minorHAnsi" w:hAnsiTheme="minorHAnsi" w:cstheme="minorHAnsi"/>
          <w:sz w:val="23"/>
          <w:szCs w:val="23"/>
        </w:rPr>
      </w:pPr>
    </w:p>
    <w:p w:rsidR="008A2249" w:rsidRDefault="008A2249" w:rsidP="00AE5A9F">
      <w:pPr>
        <w:spacing w:line="276" w:lineRule="auto"/>
        <w:ind w:firstLine="708"/>
        <w:jc w:val="both"/>
        <w:rPr>
          <w:rFonts w:asciiTheme="minorHAnsi" w:hAnsiTheme="minorHAnsi" w:cstheme="minorHAnsi"/>
          <w:sz w:val="23"/>
          <w:szCs w:val="23"/>
        </w:rPr>
      </w:pPr>
    </w:p>
    <w:p w:rsidR="00C72A33" w:rsidRPr="00AE5A9F" w:rsidRDefault="00C72A33" w:rsidP="00AE5A9F">
      <w:pPr>
        <w:spacing w:line="276" w:lineRule="auto"/>
        <w:ind w:firstLine="708"/>
        <w:jc w:val="both"/>
        <w:rPr>
          <w:rFonts w:asciiTheme="minorHAnsi" w:hAnsiTheme="minorHAnsi" w:cstheme="minorHAnsi"/>
          <w:sz w:val="23"/>
          <w:szCs w:val="23"/>
        </w:rPr>
      </w:pPr>
      <w:r w:rsidRPr="00AE5A9F">
        <w:rPr>
          <w:rFonts w:asciiTheme="minorHAnsi" w:hAnsiTheme="minorHAnsi" w:cstheme="minorHAnsi"/>
          <w:sz w:val="23"/>
          <w:szCs w:val="23"/>
        </w:rPr>
        <w:t xml:space="preserve">En relación con la solicitud de informe </w:t>
      </w:r>
      <w:r w:rsidR="008A2249">
        <w:rPr>
          <w:rFonts w:asciiTheme="minorHAnsi" w:hAnsiTheme="minorHAnsi" w:cstheme="minorHAnsi"/>
          <w:sz w:val="23"/>
          <w:szCs w:val="23"/>
        </w:rPr>
        <w:t xml:space="preserve">relativo a la evaluación de impacto de género del anteproyecto citado </w:t>
      </w:r>
      <w:r w:rsidRPr="00AE5A9F">
        <w:rPr>
          <w:rFonts w:asciiTheme="minorHAnsi" w:hAnsiTheme="minorHAnsi" w:cstheme="minorHAnsi"/>
          <w:sz w:val="23"/>
          <w:szCs w:val="23"/>
        </w:rPr>
        <w:t>esta Dirección General informa lo siguiente:</w:t>
      </w:r>
    </w:p>
    <w:p w:rsidR="00C72A33" w:rsidRPr="00AE5A9F" w:rsidRDefault="00C72A33" w:rsidP="00AE5A9F">
      <w:pPr>
        <w:spacing w:line="276" w:lineRule="auto"/>
        <w:jc w:val="both"/>
        <w:rPr>
          <w:rFonts w:asciiTheme="minorHAnsi" w:hAnsiTheme="minorHAnsi" w:cstheme="minorHAnsi"/>
          <w:sz w:val="23"/>
          <w:szCs w:val="23"/>
        </w:rPr>
      </w:pPr>
    </w:p>
    <w:p w:rsidR="00C72A33" w:rsidRPr="00AE5A9F" w:rsidRDefault="00C72A33" w:rsidP="00AE5A9F">
      <w:pPr>
        <w:spacing w:line="276" w:lineRule="auto"/>
        <w:ind w:firstLine="708"/>
        <w:jc w:val="both"/>
        <w:rPr>
          <w:rFonts w:asciiTheme="minorHAnsi" w:hAnsiTheme="minorHAnsi" w:cstheme="minorHAnsi"/>
          <w:sz w:val="23"/>
          <w:szCs w:val="23"/>
        </w:rPr>
      </w:pPr>
      <w:r w:rsidRPr="00AE5A9F">
        <w:rPr>
          <w:rFonts w:asciiTheme="minorHAnsi" w:hAnsiTheme="minorHAnsi" w:cstheme="minorHAnsi"/>
          <w:sz w:val="23"/>
          <w:szCs w:val="23"/>
        </w:rPr>
        <w:t>Para garantizar que la igualdad de oportu</w:t>
      </w:r>
      <w:r w:rsidR="008A2249">
        <w:rPr>
          <w:rFonts w:asciiTheme="minorHAnsi" w:hAnsiTheme="minorHAnsi" w:cstheme="minorHAnsi"/>
          <w:sz w:val="23"/>
          <w:szCs w:val="23"/>
        </w:rPr>
        <w:t>nidades entre hombres y mujeres</w:t>
      </w:r>
      <w:r w:rsidRPr="00AE5A9F">
        <w:rPr>
          <w:rFonts w:asciiTheme="minorHAnsi" w:hAnsiTheme="minorHAnsi" w:cstheme="minorHAnsi"/>
          <w:sz w:val="23"/>
          <w:szCs w:val="23"/>
        </w:rPr>
        <w:t xml:space="preserve"> y que la transversalidad de genero estén presenten en todas las políticas,  la Ley 1/2011, de 1 de marzo, de  Evaluación del Impacto de Género en Castilla y León establece la obligación de elaborar con carácter preceptivo un informe de evaluación de impacto de género en todos los procedimientos de elaboración de las normas</w:t>
      </w:r>
      <w:r w:rsidR="008A2249">
        <w:rPr>
          <w:rFonts w:asciiTheme="minorHAnsi" w:hAnsiTheme="minorHAnsi" w:cstheme="minorHAnsi"/>
          <w:sz w:val="23"/>
          <w:szCs w:val="23"/>
        </w:rPr>
        <w:t>, tanto de anteproyectos de Ley</w:t>
      </w:r>
      <w:r w:rsidRPr="00AE5A9F">
        <w:rPr>
          <w:rFonts w:asciiTheme="minorHAnsi" w:hAnsiTheme="minorHAnsi" w:cstheme="minorHAnsi"/>
          <w:sz w:val="23"/>
          <w:szCs w:val="23"/>
        </w:rPr>
        <w:t xml:space="preserve"> como proyectos de disposiciones admi</w:t>
      </w:r>
      <w:r w:rsidR="008A2249">
        <w:rPr>
          <w:rFonts w:asciiTheme="minorHAnsi" w:hAnsiTheme="minorHAnsi" w:cstheme="minorHAnsi"/>
          <w:sz w:val="23"/>
          <w:szCs w:val="23"/>
        </w:rPr>
        <w:t>nistrativas de carácter general así</w:t>
      </w:r>
      <w:r w:rsidRPr="00AE5A9F">
        <w:rPr>
          <w:rFonts w:asciiTheme="minorHAnsi" w:hAnsiTheme="minorHAnsi" w:cstheme="minorHAnsi"/>
          <w:sz w:val="23"/>
          <w:szCs w:val="23"/>
        </w:rPr>
        <w:t xml:space="preserve"> como aquellos planes que</w:t>
      </w:r>
      <w:r w:rsidR="008A2249">
        <w:rPr>
          <w:rFonts w:asciiTheme="minorHAnsi" w:hAnsiTheme="minorHAnsi" w:cstheme="minorHAnsi"/>
          <w:sz w:val="23"/>
          <w:szCs w:val="23"/>
        </w:rPr>
        <w:t>,</w:t>
      </w:r>
      <w:r w:rsidRPr="00AE5A9F">
        <w:rPr>
          <w:rFonts w:asciiTheme="minorHAnsi" w:hAnsiTheme="minorHAnsi" w:cstheme="minorHAnsi"/>
          <w:sz w:val="23"/>
          <w:szCs w:val="23"/>
        </w:rPr>
        <w:t xml:space="preserve"> por su especial relevancia económica y social</w:t>
      </w:r>
      <w:r w:rsidR="008A2249">
        <w:rPr>
          <w:rFonts w:asciiTheme="minorHAnsi" w:hAnsiTheme="minorHAnsi" w:cstheme="minorHAnsi"/>
          <w:sz w:val="23"/>
          <w:szCs w:val="23"/>
        </w:rPr>
        <w:t>,</w:t>
      </w:r>
      <w:r w:rsidRPr="00AE5A9F">
        <w:rPr>
          <w:rFonts w:asciiTheme="minorHAnsi" w:hAnsiTheme="minorHAnsi" w:cstheme="minorHAnsi"/>
          <w:sz w:val="23"/>
          <w:szCs w:val="23"/>
        </w:rPr>
        <w:t xml:space="preserve"> se sometan a informe del Consejo Económico y Social. </w:t>
      </w:r>
    </w:p>
    <w:p w:rsidR="00C72A33" w:rsidRPr="00AE5A9F" w:rsidRDefault="00C72A33" w:rsidP="00AE5A9F">
      <w:pPr>
        <w:spacing w:line="276" w:lineRule="auto"/>
        <w:jc w:val="both"/>
        <w:rPr>
          <w:rFonts w:asciiTheme="minorHAnsi" w:hAnsiTheme="minorHAnsi" w:cstheme="minorHAnsi"/>
          <w:sz w:val="23"/>
          <w:szCs w:val="23"/>
        </w:rPr>
      </w:pPr>
    </w:p>
    <w:p w:rsidR="00C72A33" w:rsidRPr="00AE5A9F" w:rsidRDefault="00C72A33" w:rsidP="00AE5A9F">
      <w:pPr>
        <w:spacing w:line="276" w:lineRule="auto"/>
        <w:ind w:firstLine="708"/>
        <w:jc w:val="both"/>
        <w:rPr>
          <w:rFonts w:asciiTheme="minorHAnsi" w:hAnsiTheme="minorHAnsi" w:cstheme="minorHAnsi"/>
          <w:sz w:val="23"/>
          <w:szCs w:val="23"/>
        </w:rPr>
      </w:pPr>
      <w:r w:rsidRPr="00AE5A9F">
        <w:rPr>
          <w:rFonts w:asciiTheme="minorHAnsi" w:hAnsiTheme="minorHAnsi" w:cstheme="minorHAnsi"/>
          <w:sz w:val="23"/>
          <w:szCs w:val="23"/>
        </w:rPr>
        <w:t>De conformidad con el procedimiento de elaboración de las normas recogido en la Ley  3/2001, de 3 de julio, del Gobierno y de la Administración de la Comunidad de Castilla y León y demás disposici</w:t>
      </w:r>
      <w:r w:rsidR="00AE5A9F" w:rsidRPr="00AE5A9F">
        <w:rPr>
          <w:rFonts w:asciiTheme="minorHAnsi" w:hAnsiTheme="minorHAnsi" w:cstheme="minorHAnsi"/>
          <w:sz w:val="23"/>
          <w:szCs w:val="23"/>
        </w:rPr>
        <w:t>ones que resultan de aplicación</w:t>
      </w:r>
      <w:r w:rsidRPr="00AE5A9F">
        <w:rPr>
          <w:rFonts w:asciiTheme="minorHAnsi" w:hAnsiTheme="minorHAnsi" w:cstheme="minorHAnsi"/>
          <w:sz w:val="23"/>
          <w:szCs w:val="23"/>
        </w:rPr>
        <w:t xml:space="preserve"> (Decreto 43/2010, de 7 de octubre, por el que se aprueban determinadas medidas de mejora en la calidad normativa de la Administración de la Comunidad de Castilla y León y la Orden ADM/1835/2010, de 15 de diciembre, por la que se aprueba la Guía metodológica de mejora de la calidad normativa)</w:t>
      </w:r>
      <w:r w:rsidR="00AE5A9F" w:rsidRPr="00AE5A9F">
        <w:rPr>
          <w:rFonts w:asciiTheme="minorHAnsi" w:hAnsiTheme="minorHAnsi" w:cstheme="minorHAnsi"/>
          <w:sz w:val="23"/>
          <w:szCs w:val="23"/>
        </w:rPr>
        <w:t>,</w:t>
      </w:r>
      <w:r w:rsidRPr="00AE5A9F">
        <w:rPr>
          <w:rFonts w:asciiTheme="minorHAnsi" w:hAnsiTheme="minorHAnsi" w:cstheme="minorHAnsi"/>
          <w:sz w:val="23"/>
          <w:szCs w:val="23"/>
        </w:rPr>
        <w:t xml:space="preserve"> el informe de impacto de genero se integra dentro de la  memoria general, regulada en el procedimiento de elaboración de las normas.</w:t>
      </w:r>
    </w:p>
    <w:p w:rsidR="00C72A33" w:rsidRPr="00AE5A9F" w:rsidRDefault="00C72A33" w:rsidP="00AE5A9F">
      <w:pPr>
        <w:spacing w:line="276" w:lineRule="auto"/>
        <w:jc w:val="both"/>
        <w:rPr>
          <w:rFonts w:asciiTheme="minorHAnsi" w:hAnsiTheme="minorHAnsi" w:cstheme="minorHAnsi"/>
          <w:sz w:val="23"/>
          <w:szCs w:val="23"/>
        </w:rPr>
      </w:pPr>
    </w:p>
    <w:p w:rsidR="0025294E" w:rsidRPr="00AE5A9F" w:rsidRDefault="0025294E" w:rsidP="00AE5A9F">
      <w:pPr>
        <w:spacing w:line="276" w:lineRule="auto"/>
        <w:ind w:firstLine="708"/>
        <w:jc w:val="both"/>
        <w:rPr>
          <w:rFonts w:asciiTheme="minorHAnsi" w:hAnsiTheme="minorHAnsi" w:cstheme="minorHAnsi"/>
          <w:sz w:val="23"/>
          <w:szCs w:val="23"/>
        </w:rPr>
      </w:pPr>
      <w:r w:rsidRPr="00AE5A9F">
        <w:rPr>
          <w:rFonts w:asciiTheme="minorHAnsi" w:hAnsiTheme="minorHAnsi" w:cstheme="minorHAnsi"/>
          <w:sz w:val="23"/>
          <w:szCs w:val="23"/>
        </w:rPr>
        <w:t xml:space="preserve">La primera observación que se ha de </w:t>
      </w:r>
      <w:r w:rsidRPr="008A2249">
        <w:rPr>
          <w:rFonts w:asciiTheme="minorHAnsi" w:hAnsiTheme="minorHAnsi" w:cstheme="minorHAnsi"/>
          <w:sz w:val="23"/>
          <w:szCs w:val="23"/>
        </w:rPr>
        <w:t xml:space="preserve">realizar es que el proyecto remitido viene acompañado de la memoria </w:t>
      </w:r>
      <w:r w:rsidR="00AE5A9F" w:rsidRPr="008A2249">
        <w:rPr>
          <w:rFonts w:asciiTheme="minorHAnsi" w:hAnsiTheme="minorHAnsi" w:cstheme="minorHAnsi"/>
          <w:sz w:val="23"/>
          <w:szCs w:val="23"/>
        </w:rPr>
        <w:t xml:space="preserve">la cual </w:t>
      </w:r>
      <w:r w:rsidR="00057F4F" w:rsidRPr="008A2249">
        <w:rPr>
          <w:rFonts w:asciiTheme="minorHAnsi" w:hAnsiTheme="minorHAnsi" w:cstheme="minorHAnsi"/>
          <w:sz w:val="23"/>
          <w:szCs w:val="23"/>
        </w:rPr>
        <w:t>contiene</w:t>
      </w:r>
      <w:r w:rsidRPr="008A2249">
        <w:rPr>
          <w:rFonts w:asciiTheme="minorHAnsi" w:hAnsiTheme="minorHAnsi" w:cstheme="minorHAnsi"/>
          <w:sz w:val="23"/>
          <w:szCs w:val="23"/>
        </w:rPr>
        <w:t xml:space="preserve"> un apartado </w:t>
      </w:r>
      <w:r w:rsidR="00057F4F" w:rsidRPr="008A2249">
        <w:rPr>
          <w:rFonts w:asciiTheme="minorHAnsi" w:hAnsiTheme="minorHAnsi" w:cstheme="minorHAnsi"/>
          <w:sz w:val="23"/>
          <w:szCs w:val="23"/>
        </w:rPr>
        <w:t>sobre el</w:t>
      </w:r>
      <w:r w:rsidRPr="008A2249">
        <w:rPr>
          <w:rFonts w:asciiTheme="minorHAnsi" w:hAnsiTheme="minorHAnsi" w:cstheme="minorHAnsi"/>
          <w:sz w:val="23"/>
          <w:szCs w:val="23"/>
        </w:rPr>
        <w:t xml:space="preserve"> impacto de género del texto del </w:t>
      </w:r>
      <w:r w:rsidR="00AE5A9F" w:rsidRPr="008A2249">
        <w:rPr>
          <w:rFonts w:asciiTheme="minorHAnsi" w:hAnsiTheme="minorHAnsi" w:cstheme="minorHAnsi"/>
          <w:sz w:val="23"/>
          <w:szCs w:val="23"/>
        </w:rPr>
        <w:t>ante</w:t>
      </w:r>
      <w:r w:rsidRPr="008A2249">
        <w:rPr>
          <w:rFonts w:asciiTheme="minorHAnsi" w:hAnsiTheme="minorHAnsi" w:cstheme="minorHAnsi"/>
          <w:sz w:val="23"/>
          <w:szCs w:val="23"/>
        </w:rPr>
        <w:t>proyecto propuesto</w:t>
      </w:r>
      <w:r w:rsidR="008A2249">
        <w:rPr>
          <w:rFonts w:asciiTheme="minorHAnsi" w:hAnsiTheme="minorHAnsi" w:cstheme="minorHAnsi"/>
          <w:sz w:val="23"/>
          <w:szCs w:val="23"/>
        </w:rPr>
        <w:t>,</w:t>
      </w:r>
      <w:r w:rsidR="00852B7F" w:rsidRPr="00AE5A9F">
        <w:rPr>
          <w:rFonts w:asciiTheme="minorHAnsi" w:hAnsiTheme="minorHAnsi" w:cstheme="minorHAnsi"/>
          <w:sz w:val="23"/>
          <w:szCs w:val="23"/>
        </w:rPr>
        <w:t xml:space="preserve"> por lo que se puede afirmar que </w:t>
      </w:r>
      <w:r w:rsidRPr="00AE5A9F">
        <w:rPr>
          <w:rFonts w:asciiTheme="minorHAnsi" w:hAnsiTheme="minorHAnsi" w:cstheme="minorHAnsi"/>
          <w:sz w:val="23"/>
          <w:szCs w:val="23"/>
        </w:rPr>
        <w:t xml:space="preserve">la tramitación del </w:t>
      </w:r>
      <w:r w:rsidR="00AE5A9F" w:rsidRPr="00AE5A9F">
        <w:rPr>
          <w:rFonts w:asciiTheme="minorHAnsi" w:hAnsiTheme="minorHAnsi" w:cstheme="minorHAnsi"/>
          <w:sz w:val="23"/>
          <w:szCs w:val="23"/>
        </w:rPr>
        <w:t xml:space="preserve">proyecto normativo </w:t>
      </w:r>
      <w:r w:rsidRPr="00AE5A9F">
        <w:rPr>
          <w:rFonts w:asciiTheme="minorHAnsi" w:hAnsiTheme="minorHAnsi" w:cstheme="minorHAnsi"/>
          <w:sz w:val="23"/>
          <w:szCs w:val="23"/>
        </w:rPr>
        <w:t xml:space="preserve">cuenta con la emisión del citado informe </w:t>
      </w:r>
      <w:r w:rsidR="00AE5A9F" w:rsidRPr="00AE5A9F">
        <w:rPr>
          <w:rFonts w:asciiTheme="minorHAnsi" w:hAnsiTheme="minorHAnsi" w:cstheme="minorHAnsi"/>
          <w:sz w:val="23"/>
          <w:szCs w:val="23"/>
        </w:rPr>
        <w:t>preceptivo y</w:t>
      </w:r>
      <w:r w:rsidRPr="00AE5A9F">
        <w:rPr>
          <w:rFonts w:asciiTheme="minorHAnsi" w:hAnsiTheme="minorHAnsi" w:cstheme="minorHAnsi"/>
          <w:sz w:val="23"/>
          <w:szCs w:val="23"/>
        </w:rPr>
        <w:t xml:space="preserve"> que contiene los  extremos a que hace referencia el artículo 3 de la citada  Ley 1/2011, de 1 de marzo.</w:t>
      </w:r>
    </w:p>
    <w:p w:rsidR="00553D3A" w:rsidRPr="00AE5A9F" w:rsidRDefault="00553D3A" w:rsidP="00AE5A9F">
      <w:pPr>
        <w:spacing w:line="276" w:lineRule="auto"/>
        <w:ind w:firstLine="708"/>
        <w:jc w:val="both"/>
        <w:rPr>
          <w:rFonts w:asciiTheme="minorHAnsi" w:hAnsiTheme="minorHAnsi" w:cstheme="minorHAnsi"/>
          <w:sz w:val="23"/>
          <w:szCs w:val="23"/>
        </w:rPr>
      </w:pPr>
    </w:p>
    <w:p w:rsidR="00553D3A" w:rsidRPr="00AE5A9F" w:rsidRDefault="00553D3A" w:rsidP="008A2249">
      <w:pPr>
        <w:autoSpaceDE w:val="0"/>
        <w:autoSpaceDN w:val="0"/>
        <w:adjustRightInd w:val="0"/>
        <w:spacing w:line="276" w:lineRule="auto"/>
        <w:ind w:firstLine="708"/>
        <w:jc w:val="both"/>
        <w:rPr>
          <w:rFonts w:asciiTheme="minorHAnsi" w:hAnsiTheme="minorHAnsi" w:cstheme="minorHAnsi"/>
          <w:sz w:val="23"/>
          <w:szCs w:val="23"/>
        </w:rPr>
      </w:pPr>
      <w:r w:rsidRPr="00AE5A9F">
        <w:rPr>
          <w:rFonts w:asciiTheme="minorHAnsi" w:hAnsiTheme="minorHAnsi" w:cstheme="minorHAnsi"/>
          <w:sz w:val="23"/>
          <w:szCs w:val="23"/>
        </w:rPr>
        <w:t xml:space="preserve">El centro directivo </w:t>
      </w:r>
      <w:r w:rsidR="00733919" w:rsidRPr="00AE5A9F">
        <w:rPr>
          <w:rFonts w:asciiTheme="minorHAnsi" w:hAnsiTheme="minorHAnsi" w:cstheme="minorHAnsi"/>
          <w:sz w:val="23"/>
          <w:szCs w:val="23"/>
        </w:rPr>
        <w:t>que propone la nueva regulación</w:t>
      </w:r>
      <w:r w:rsidRPr="00AE5A9F">
        <w:rPr>
          <w:rFonts w:asciiTheme="minorHAnsi" w:hAnsiTheme="minorHAnsi" w:cstheme="minorHAnsi"/>
          <w:sz w:val="23"/>
          <w:szCs w:val="23"/>
        </w:rPr>
        <w:t xml:space="preserve"> indica</w:t>
      </w:r>
      <w:r w:rsidR="00733919" w:rsidRPr="00AE5A9F">
        <w:rPr>
          <w:rFonts w:asciiTheme="minorHAnsi" w:hAnsiTheme="minorHAnsi" w:cstheme="minorHAnsi"/>
          <w:sz w:val="23"/>
          <w:szCs w:val="23"/>
        </w:rPr>
        <w:t>,</w:t>
      </w:r>
      <w:r w:rsidR="001742E2" w:rsidRPr="00AE5A9F">
        <w:rPr>
          <w:rFonts w:asciiTheme="minorHAnsi" w:hAnsiTheme="minorHAnsi" w:cstheme="minorHAnsi"/>
          <w:sz w:val="23"/>
          <w:szCs w:val="23"/>
        </w:rPr>
        <w:t xml:space="preserve"> en el apartado de su memoria destinado a la evaluación por impacto de género</w:t>
      </w:r>
      <w:r w:rsidR="00733919" w:rsidRPr="00AE5A9F">
        <w:rPr>
          <w:rFonts w:asciiTheme="minorHAnsi" w:hAnsiTheme="minorHAnsi" w:cstheme="minorHAnsi"/>
          <w:sz w:val="23"/>
          <w:szCs w:val="23"/>
        </w:rPr>
        <w:t xml:space="preserve">, </w:t>
      </w:r>
      <w:r w:rsidRPr="00AE5A9F">
        <w:rPr>
          <w:rFonts w:asciiTheme="minorHAnsi" w:hAnsiTheme="minorHAnsi" w:cstheme="minorHAnsi"/>
          <w:sz w:val="23"/>
          <w:szCs w:val="23"/>
        </w:rPr>
        <w:t xml:space="preserve">que </w:t>
      </w:r>
      <w:r w:rsidRPr="00AE5A9F">
        <w:rPr>
          <w:rFonts w:asciiTheme="minorHAnsi" w:hAnsiTheme="minorHAnsi" w:cstheme="minorHAnsi"/>
          <w:b/>
          <w:i/>
          <w:sz w:val="23"/>
          <w:szCs w:val="23"/>
        </w:rPr>
        <w:t>“</w:t>
      </w:r>
      <w:r w:rsidR="00AE5A9F" w:rsidRPr="00AE5A9F">
        <w:rPr>
          <w:rFonts w:asciiTheme="minorHAnsi" w:hAnsiTheme="minorHAnsi" w:cstheme="minorHAnsi"/>
          <w:sz w:val="23"/>
          <w:szCs w:val="23"/>
        </w:rPr>
        <w:t>El anteproyecto de ley que se está tramitando no tiene incidencia en la política de género, pues la posición inicial en la que se encuentran las mujeres y hombres en el ámbito específico en el que pretende regular la norma es de igualdad, por lo que no procede la incorporación de medidas de acción positiva que eviten un impacto normativo de género en la regulación que se pretende</w:t>
      </w:r>
      <w:r w:rsidR="00AE5A9F" w:rsidRPr="00AE5A9F">
        <w:rPr>
          <w:rFonts w:asciiTheme="minorHAnsi" w:hAnsiTheme="minorHAnsi" w:cstheme="minorHAnsi"/>
          <w:sz w:val="23"/>
          <w:szCs w:val="23"/>
        </w:rPr>
        <w:t>”</w:t>
      </w:r>
      <w:r w:rsidR="00AE5A9F" w:rsidRPr="00AE5A9F">
        <w:rPr>
          <w:rFonts w:asciiTheme="minorHAnsi" w:hAnsiTheme="minorHAnsi" w:cstheme="minorHAnsi"/>
          <w:sz w:val="23"/>
          <w:szCs w:val="23"/>
        </w:rPr>
        <w:t>.</w:t>
      </w:r>
      <w:r w:rsidR="00AE5A9F" w:rsidRPr="00AE5A9F">
        <w:rPr>
          <w:rFonts w:asciiTheme="minorHAnsi" w:hAnsiTheme="minorHAnsi" w:cstheme="minorHAnsi"/>
          <w:sz w:val="23"/>
          <w:szCs w:val="23"/>
        </w:rPr>
        <w:t xml:space="preserve"> Recoge también el informe que “</w:t>
      </w:r>
      <w:r w:rsidR="00AE5A9F" w:rsidRPr="00AE5A9F">
        <w:rPr>
          <w:rFonts w:asciiTheme="minorHAnsi" w:hAnsiTheme="minorHAnsi" w:cstheme="minorHAnsi"/>
          <w:sz w:val="23"/>
          <w:szCs w:val="23"/>
        </w:rPr>
        <w:t>La regulación normativa incluida en el anteproyecto de ley beneficia por igual a hombres y a mujeres de las materias incluidas en su ámbito de aplicación</w:t>
      </w:r>
      <w:r w:rsidR="00AE5A9F" w:rsidRPr="00AE5A9F">
        <w:rPr>
          <w:rFonts w:asciiTheme="minorHAnsi" w:hAnsiTheme="minorHAnsi" w:cstheme="minorHAnsi"/>
          <w:sz w:val="23"/>
          <w:szCs w:val="23"/>
        </w:rPr>
        <w:t xml:space="preserve">”. Se concluye que la norma no es pertinente al género </w:t>
      </w:r>
      <w:r w:rsidR="00AE5A9F" w:rsidRPr="00AE5A9F">
        <w:rPr>
          <w:rFonts w:asciiTheme="minorHAnsi" w:hAnsiTheme="minorHAnsi" w:cstheme="minorHAnsi"/>
          <w:sz w:val="23"/>
          <w:szCs w:val="23"/>
        </w:rPr>
        <w:t>por su nula influencia en el acceso a recursos o servicios por parte de mujeres y hombres, por no ser susceptible de modificar el rol de género o por no afectar a la situación o posición social ocupada por hombres y mujeres.</w:t>
      </w:r>
    </w:p>
    <w:p w:rsidR="00553D3A" w:rsidRPr="00AE5A9F" w:rsidRDefault="00553D3A" w:rsidP="00AE5A9F">
      <w:pPr>
        <w:spacing w:line="276" w:lineRule="auto"/>
        <w:ind w:firstLine="708"/>
        <w:jc w:val="both"/>
        <w:rPr>
          <w:rFonts w:asciiTheme="minorHAnsi" w:hAnsiTheme="minorHAnsi" w:cstheme="minorHAnsi"/>
          <w:sz w:val="23"/>
          <w:szCs w:val="23"/>
        </w:rPr>
      </w:pPr>
    </w:p>
    <w:p w:rsidR="000106F9" w:rsidRDefault="001742E2" w:rsidP="00AE5A9F">
      <w:pPr>
        <w:spacing w:line="276" w:lineRule="auto"/>
        <w:ind w:firstLine="708"/>
        <w:jc w:val="both"/>
        <w:rPr>
          <w:rFonts w:asciiTheme="minorHAnsi" w:hAnsiTheme="minorHAnsi" w:cstheme="minorHAnsi"/>
          <w:sz w:val="23"/>
          <w:szCs w:val="23"/>
        </w:rPr>
      </w:pPr>
      <w:r w:rsidRPr="00AE5A9F">
        <w:rPr>
          <w:rFonts w:asciiTheme="minorHAnsi" w:hAnsiTheme="minorHAnsi" w:cstheme="minorHAnsi"/>
          <w:sz w:val="23"/>
          <w:szCs w:val="23"/>
        </w:rPr>
        <w:lastRenderedPageBreak/>
        <w:t xml:space="preserve">Se sugiere </w:t>
      </w:r>
      <w:r w:rsidR="00152CF7" w:rsidRPr="00AE5A9F">
        <w:rPr>
          <w:rFonts w:asciiTheme="minorHAnsi" w:hAnsiTheme="minorHAnsi" w:cstheme="minorHAnsi"/>
          <w:sz w:val="23"/>
          <w:szCs w:val="23"/>
        </w:rPr>
        <w:t>que</w:t>
      </w:r>
      <w:r w:rsidR="00AE5A9F">
        <w:rPr>
          <w:rFonts w:asciiTheme="minorHAnsi" w:hAnsiTheme="minorHAnsi" w:cstheme="minorHAnsi"/>
          <w:sz w:val="23"/>
          <w:szCs w:val="23"/>
        </w:rPr>
        <w:t>, en la</w:t>
      </w:r>
      <w:r w:rsidR="00152CF7" w:rsidRPr="00AE5A9F">
        <w:rPr>
          <w:rFonts w:asciiTheme="minorHAnsi" w:hAnsiTheme="minorHAnsi" w:cstheme="minorHAnsi"/>
          <w:sz w:val="23"/>
          <w:szCs w:val="23"/>
        </w:rPr>
        <w:t xml:space="preserve"> realización </w:t>
      </w:r>
      <w:r w:rsidR="00AE5A9F">
        <w:rPr>
          <w:rFonts w:asciiTheme="minorHAnsi" w:hAnsiTheme="minorHAnsi" w:cstheme="minorHAnsi"/>
          <w:sz w:val="23"/>
          <w:szCs w:val="23"/>
        </w:rPr>
        <w:t xml:space="preserve">de la evaluación, </w:t>
      </w:r>
      <w:r w:rsidR="00152CF7" w:rsidRPr="00AE5A9F">
        <w:rPr>
          <w:rFonts w:asciiTheme="minorHAnsi" w:hAnsiTheme="minorHAnsi" w:cstheme="minorHAnsi"/>
          <w:sz w:val="23"/>
          <w:szCs w:val="23"/>
        </w:rPr>
        <w:t xml:space="preserve">se </w:t>
      </w:r>
      <w:r w:rsidR="005D1AF1" w:rsidRPr="00AE5A9F">
        <w:rPr>
          <w:rFonts w:asciiTheme="minorHAnsi" w:hAnsiTheme="minorHAnsi" w:cstheme="minorHAnsi"/>
          <w:sz w:val="23"/>
          <w:szCs w:val="23"/>
        </w:rPr>
        <w:t>profundice en</w:t>
      </w:r>
      <w:r w:rsidR="00152CF7" w:rsidRPr="00AE5A9F">
        <w:rPr>
          <w:rFonts w:asciiTheme="minorHAnsi" w:hAnsiTheme="minorHAnsi" w:cstheme="minorHAnsi"/>
          <w:sz w:val="23"/>
          <w:szCs w:val="23"/>
        </w:rPr>
        <w:t xml:space="preserve"> lo dispuesto en el Protocolo para la evaluación del impac</w:t>
      </w:r>
      <w:r w:rsidR="00AE5A9F">
        <w:rPr>
          <w:rFonts w:asciiTheme="minorHAnsi" w:hAnsiTheme="minorHAnsi" w:cstheme="minorHAnsi"/>
          <w:sz w:val="23"/>
          <w:szCs w:val="23"/>
        </w:rPr>
        <w:t>to de género de Castilla y León</w:t>
      </w:r>
      <w:r w:rsidR="00152CF7" w:rsidRPr="00AE5A9F">
        <w:rPr>
          <w:rFonts w:asciiTheme="minorHAnsi" w:hAnsiTheme="minorHAnsi" w:cstheme="minorHAnsi"/>
          <w:sz w:val="23"/>
          <w:szCs w:val="23"/>
        </w:rPr>
        <w:t xml:space="preserve"> </w:t>
      </w:r>
      <w:r w:rsidR="00AE5A9F">
        <w:rPr>
          <w:rFonts w:asciiTheme="minorHAnsi" w:hAnsiTheme="minorHAnsi" w:cstheme="minorHAnsi"/>
          <w:sz w:val="23"/>
          <w:szCs w:val="23"/>
        </w:rPr>
        <w:t>de manera que se pueda</w:t>
      </w:r>
      <w:r w:rsidR="008A2249">
        <w:rPr>
          <w:rFonts w:asciiTheme="minorHAnsi" w:hAnsiTheme="minorHAnsi" w:cstheme="minorHAnsi"/>
          <w:sz w:val="23"/>
          <w:szCs w:val="23"/>
        </w:rPr>
        <w:t>n</w:t>
      </w:r>
      <w:r w:rsidR="00AE5A9F">
        <w:rPr>
          <w:rFonts w:asciiTheme="minorHAnsi" w:hAnsiTheme="minorHAnsi" w:cstheme="minorHAnsi"/>
          <w:sz w:val="23"/>
          <w:szCs w:val="23"/>
        </w:rPr>
        <w:t xml:space="preserve"> incorporar</w:t>
      </w:r>
      <w:r w:rsidR="000D0456" w:rsidRPr="00AE5A9F">
        <w:rPr>
          <w:rFonts w:asciiTheme="minorHAnsi" w:hAnsiTheme="minorHAnsi" w:cstheme="minorHAnsi"/>
          <w:sz w:val="23"/>
          <w:szCs w:val="23"/>
        </w:rPr>
        <w:t xml:space="preserve"> a</w:t>
      </w:r>
      <w:r w:rsidR="00AE5A9F">
        <w:rPr>
          <w:rFonts w:asciiTheme="minorHAnsi" w:hAnsiTheme="minorHAnsi" w:cstheme="minorHAnsi"/>
          <w:sz w:val="23"/>
          <w:szCs w:val="23"/>
        </w:rPr>
        <w:t>l</w:t>
      </w:r>
      <w:r w:rsidR="000D0456" w:rsidRPr="00AE5A9F">
        <w:rPr>
          <w:rFonts w:asciiTheme="minorHAnsi" w:hAnsiTheme="minorHAnsi" w:cstheme="minorHAnsi"/>
          <w:sz w:val="23"/>
          <w:szCs w:val="23"/>
        </w:rPr>
        <w:t xml:space="preserve"> informe</w:t>
      </w:r>
      <w:r w:rsidR="005D1AF1" w:rsidRPr="00AE5A9F">
        <w:rPr>
          <w:rFonts w:asciiTheme="minorHAnsi" w:hAnsiTheme="minorHAnsi" w:cstheme="minorHAnsi"/>
          <w:sz w:val="23"/>
          <w:szCs w:val="23"/>
        </w:rPr>
        <w:t xml:space="preserve"> </w:t>
      </w:r>
      <w:r w:rsidR="00152CF7" w:rsidRPr="00AE5A9F">
        <w:rPr>
          <w:rFonts w:asciiTheme="minorHAnsi" w:hAnsiTheme="minorHAnsi" w:cstheme="minorHAnsi"/>
          <w:sz w:val="23"/>
          <w:szCs w:val="23"/>
        </w:rPr>
        <w:t>los aspectos fundamentales del proceso y las fases a seguir para analizar los proyectos normativos</w:t>
      </w:r>
      <w:r w:rsidR="00A955FE">
        <w:rPr>
          <w:rFonts w:asciiTheme="minorHAnsi" w:hAnsiTheme="minorHAnsi" w:cstheme="minorHAnsi"/>
          <w:sz w:val="23"/>
          <w:szCs w:val="23"/>
        </w:rPr>
        <w:t xml:space="preserve"> desde la perspectiva de género</w:t>
      </w:r>
      <w:r w:rsidR="00152CF7" w:rsidRPr="00AE5A9F">
        <w:rPr>
          <w:rFonts w:asciiTheme="minorHAnsi" w:hAnsiTheme="minorHAnsi" w:cstheme="minorHAnsi"/>
          <w:sz w:val="23"/>
          <w:szCs w:val="23"/>
        </w:rPr>
        <w:t>.</w:t>
      </w:r>
      <w:r w:rsidR="008363A9" w:rsidRPr="00AE5A9F">
        <w:rPr>
          <w:rFonts w:asciiTheme="minorHAnsi" w:hAnsiTheme="minorHAnsi" w:cstheme="minorHAnsi"/>
          <w:sz w:val="23"/>
          <w:szCs w:val="23"/>
        </w:rPr>
        <w:t xml:space="preserve"> </w:t>
      </w:r>
      <w:r w:rsidR="00152CF7" w:rsidRPr="00AE5A9F">
        <w:rPr>
          <w:rFonts w:asciiTheme="minorHAnsi" w:hAnsiTheme="minorHAnsi" w:cstheme="minorHAnsi"/>
          <w:sz w:val="23"/>
          <w:szCs w:val="23"/>
        </w:rPr>
        <w:t xml:space="preserve">El Protocolo citado está disponible en la página web de la Junta de Castilla y León, apartado Mujer/Igualdad de género/Impacto de </w:t>
      </w:r>
      <w:r w:rsidR="000D0456" w:rsidRPr="00AE5A9F">
        <w:rPr>
          <w:rFonts w:asciiTheme="minorHAnsi" w:hAnsiTheme="minorHAnsi" w:cstheme="minorHAnsi"/>
          <w:sz w:val="23"/>
          <w:szCs w:val="23"/>
        </w:rPr>
        <w:t>género/Herramientas).</w:t>
      </w:r>
    </w:p>
    <w:p w:rsidR="00A955FE" w:rsidRPr="004538F3" w:rsidRDefault="00A955FE" w:rsidP="00A955FE">
      <w:pPr>
        <w:spacing w:line="276" w:lineRule="auto"/>
        <w:jc w:val="both"/>
        <w:rPr>
          <w:rFonts w:asciiTheme="minorHAnsi" w:hAnsiTheme="minorHAnsi"/>
          <w:sz w:val="23"/>
          <w:szCs w:val="23"/>
        </w:rPr>
      </w:pPr>
    </w:p>
    <w:p w:rsidR="00A955FE" w:rsidRDefault="00A955FE" w:rsidP="00A955FE">
      <w:pPr>
        <w:spacing w:line="276" w:lineRule="auto"/>
        <w:ind w:firstLine="708"/>
        <w:jc w:val="both"/>
        <w:rPr>
          <w:rFonts w:asciiTheme="minorHAnsi" w:hAnsiTheme="minorHAnsi"/>
          <w:sz w:val="23"/>
          <w:szCs w:val="23"/>
        </w:rPr>
      </w:pPr>
      <w:r>
        <w:rPr>
          <w:rFonts w:asciiTheme="minorHAnsi" w:hAnsiTheme="minorHAnsi"/>
          <w:sz w:val="23"/>
          <w:szCs w:val="23"/>
        </w:rPr>
        <w:t xml:space="preserve">Siguiendo el protocolo </w:t>
      </w:r>
      <w:r w:rsidRPr="004538F3">
        <w:rPr>
          <w:rFonts w:asciiTheme="minorHAnsi" w:hAnsiTheme="minorHAnsi"/>
          <w:sz w:val="23"/>
          <w:szCs w:val="23"/>
        </w:rPr>
        <w:t>es necesario</w:t>
      </w:r>
      <w:r>
        <w:rPr>
          <w:rFonts w:asciiTheme="minorHAnsi" w:hAnsiTheme="minorHAnsi"/>
          <w:sz w:val="23"/>
          <w:szCs w:val="23"/>
        </w:rPr>
        <w:t>, en primer lugar,</w:t>
      </w:r>
      <w:r w:rsidRPr="004538F3">
        <w:rPr>
          <w:rFonts w:asciiTheme="minorHAnsi" w:hAnsiTheme="minorHAnsi"/>
          <w:sz w:val="23"/>
          <w:szCs w:val="23"/>
        </w:rPr>
        <w:t xml:space="preserve"> identificar si la intervención pública es pertinente al género. Una intervención será pertinente al género cuando pueda incidir en las condiciones de vida de mujeres y hombres y tenga la capacidad de influir en la reducción de desigualdades de género. De forma concreta, el centro directivo competente en l</w:t>
      </w:r>
      <w:r w:rsidR="008A2249">
        <w:rPr>
          <w:rFonts w:asciiTheme="minorHAnsi" w:hAnsiTheme="minorHAnsi"/>
          <w:sz w:val="23"/>
          <w:szCs w:val="23"/>
        </w:rPr>
        <w:t>a elaboración de la disposición</w:t>
      </w:r>
      <w:r w:rsidRPr="004538F3">
        <w:rPr>
          <w:rFonts w:asciiTheme="minorHAnsi" w:hAnsiTheme="minorHAnsi"/>
          <w:sz w:val="23"/>
          <w:szCs w:val="23"/>
        </w:rPr>
        <w:t xml:space="preserve"> determinará si existe o no esa pertinencia al género valorando si el texto propuesto afecta directa o indirectamente a mujeres y hombres, si influye en el acceso o control de los recursos o servicios que se regulan, si incide en la modificación del rol de género y/o de los estereotipos de género y, finalmente, si el texto propuesto  puede contribuir al logro de la igualdad.</w:t>
      </w:r>
    </w:p>
    <w:p w:rsidR="00A955FE" w:rsidRDefault="00A955FE" w:rsidP="00A955FE">
      <w:pPr>
        <w:spacing w:line="276" w:lineRule="auto"/>
        <w:ind w:firstLine="708"/>
        <w:jc w:val="both"/>
        <w:rPr>
          <w:rFonts w:asciiTheme="minorHAnsi" w:hAnsiTheme="minorHAnsi"/>
          <w:sz w:val="23"/>
          <w:szCs w:val="23"/>
        </w:rPr>
      </w:pPr>
      <w:r>
        <w:rPr>
          <w:rFonts w:asciiTheme="minorHAnsi" w:hAnsiTheme="minorHAnsi"/>
          <w:sz w:val="23"/>
          <w:szCs w:val="23"/>
        </w:rPr>
        <w:t xml:space="preserve">En este caso, el texto propuesto afecta directamente a mujeres y hombres, sí influye en el acceso a los recursos que se regulan ya que el contenido </w:t>
      </w:r>
      <w:r w:rsidR="008A2249">
        <w:rPr>
          <w:rFonts w:asciiTheme="minorHAnsi" w:hAnsiTheme="minorHAnsi"/>
          <w:sz w:val="23"/>
          <w:szCs w:val="23"/>
        </w:rPr>
        <w:t xml:space="preserve">de la norma </w:t>
      </w:r>
      <w:r>
        <w:rPr>
          <w:rFonts w:asciiTheme="minorHAnsi" w:hAnsiTheme="minorHAnsi"/>
          <w:sz w:val="23"/>
          <w:szCs w:val="23"/>
        </w:rPr>
        <w:t>busca, precisamente, establecer los términos, requisitos y condiciones de los establecimientos autorizados para el juego y el acceso a los mismos; por último, el texto propuesto sí puede incidir en la modificación de estereotipos de género contribuyendo al logro de la igualdad de género ya que la posición de los hombres y las mujeres en relación con el juego no es la misma, tal y como se expondrá más adelante. Se puede concluir, tras este análisis, que la norma sí es pertinente al género, es decir, la variable “sexo” y la categoría “género” son relevantes para el análisis del presente anteproyecto.</w:t>
      </w:r>
    </w:p>
    <w:p w:rsidR="00A955FE" w:rsidRPr="00AE5A9F" w:rsidRDefault="00A955FE" w:rsidP="00AE5A9F">
      <w:pPr>
        <w:spacing w:line="276" w:lineRule="auto"/>
        <w:ind w:firstLine="708"/>
        <w:jc w:val="both"/>
        <w:rPr>
          <w:rFonts w:asciiTheme="minorHAnsi" w:hAnsiTheme="minorHAnsi" w:cstheme="minorHAnsi"/>
          <w:sz w:val="23"/>
          <w:szCs w:val="23"/>
        </w:rPr>
      </w:pPr>
    </w:p>
    <w:p w:rsidR="005534C4" w:rsidRPr="005153AD" w:rsidRDefault="00A955FE" w:rsidP="005534C4">
      <w:pPr>
        <w:spacing w:line="276" w:lineRule="auto"/>
        <w:ind w:firstLine="708"/>
        <w:jc w:val="both"/>
        <w:rPr>
          <w:rFonts w:asciiTheme="minorHAnsi" w:hAnsiTheme="minorHAnsi"/>
          <w:sz w:val="23"/>
          <w:szCs w:val="23"/>
        </w:rPr>
      </w:pPr>
      <w:r>
        <w:rPr>
          <w:rFonts w:asciiTheme="minorHAnsi" w:hAnsiTheme="minorHAnsi" w:cstheme="minorHAnsi"/>
          <w:sz w:val="23"/>
          <w:szCs w:val="23"/>
        </w:rPr>
        <w:t>Confirma la pertinencia,</w:t>
      </w:r>
      <w:r w:rsidR="005534C4" w:rsidRPr="005534C4">
        <w:rPr>
          <w:rFonts w:asciiTheme="minorHAnsi" w:hAnsiTheme="minorHAnsi"/>
          <w:sz w:val="23"/>
          <w:szCs w:val="23"/>
        </w:rPr>
        <w:t xml:space="preserve"> </w:t>
      </w:r>
      <w:r w:rsidR="005534C4">
        <w:rPr>
          <w:rFonts w:asciiTheme="minorHAnsi" w:hAnsiTheme="minorHAnsi"/>
          <w:sz w:val="23"/>
          <w:szCs w:val="23"/>
        </w:rPr>
        <w:t xml:space="preserve">corresponde </w:t>
      </w:r>
      <w:r w:rsidR="005534C4" w:rsidRPr="005153AD">
        <w:rPr>
          <w:rFonts w:asciiTheme="minorHAnsi" w:hAnsiTheme="minorHAnsi"/>
          <w:sz w:val="23"/>
          <w:szCs w:val="23"/>
        </w:rPr>
        <w:t xml:space="preserve">analizar si el </w:t>
      </w:r>
      <w:r w:rsidR="005534C4">
        <w:rPr>
          <w:rFonts w:asciiTheme="minorHAnsi" w:hAnsiTheme="minorHAnsi"/>
          <w:sz w:val="23"/>
          <w:szCs w:val="23"/>
        </w:rPr>
        <w:t xml:space="preserve">anteproyecto </w:t>
      </w:r>
      <w:r w:rsidR="005534C4" w:rsidRPr="005153AD">
        <w:rPr>
          <w:rFonts w:asciiTheme="minorHAnsi" w:hAnsiTheme="minorHAnsi"/>
          <w:sz w:val="23"/>
          <w:szCs w:val="23"/>
        </w:rPr>
        <w:t>puede tener un impacto positivo o negativo sobre la igualdad de</w:t>
      </w:r>
      <w:r w:rsidR="005534C4">
        <w:rPr>
          <w:rFonts w:asciiTheme="minorHAnsi" w:hAnsiTheme="minorHAnsi"/>
          <w:sz w:val="23"/>
          <w:szCs w:val="23"/>
        </w:rPr>
        <w:t xml:space="preserve"> género</w:t>
      </w:r>
      <w:r w:rsidR="005534C4" w:rsidRPr="005153AD">
        <w:rPr>
          <w:rFonts w:asciiTheme="minorHAnsi" w:hAnsiTheme="minorHAnsi"/>
          <w:sz w:val="23"/>
          <w:szCs w:val="23"/>
        </w:rPr>
        <w:t>. Este análisis persigue comprobar si el texto prevé medidas que favorezcan la reducción de desigualdades. Este análisis con perspectiva de género requiere realizar una valoración de los siguientes extremos:</w:t>
      </w:r>
    </w:p>
    <w:p w:rsidR="005534C4" w:rsidRPr="005153AD" w:rsidRDefault="005534C4" w:rsidP="005534C4">
      <w:pPr>
        <w:spacing w:line="276" w:lineRule="auto"/>
        <w:ind w:firstLine="708"/>
        <w:jc w:val="both"/>
        <w:rPr>
          <w:rFonts w:asciiTheme="minorHAnsi" w:hAnsiTheme="minorHAnsi"/>
          <w:sz w:val="23"/>
          <w:szCs w:val="23"/>
        </w:rPr>
      </w:pPr>
      <w:r w:rsidRPr="005153AD">
        <w:rPr>
          <w:rFonts w:asciiTheme="minorHAnsi" w:hAnsiTheme="minorHAnsi"/>
          <w:sz w:val="23"/>
          <w:szCs w:val="23"/>
        </w:rPr>
        <w:t xml:space="preserve"> </w:t>
      </w:r>
    </w:p>
    <w:p w:rsidR="005534C4" w:rsidRPr="005153AD" w:rsidRDefault="005534C4" w:rsidP="005534C4">
      <w:pPr>
        <w:pStyle w:val="Prrafodelista"/>
        <w:numPr>
          <w:ilvl w:val="0"/>
          <w:numId w:val="7"/>
        </w:numPr>
        <w:spacing w:after="120" w:line="276" w:lineRule="auto"/>
        <w:ind w:left="714" w:hanging="357"/>
        <w:contextualSpacing w:val="0"/>
        <w:jc w:val="both"/>
        <w:rPr>
          <w:rFonts w:asciiTheme="minorHAnsi" w:hAnsiTheme="minorHAnsi"/>
          <w:color w:val="000000" w:themeColor="text1"/>
          <w:sz w:val="23"/>
          <w:szCs w:val="23"/>
        </w:rPr>
      </w:pPr>
      <w:r w:rsidRPr="005153AD">
        <w:rPr>
          <w:rFonts w:asciiTheme="minorHAnsi" w:hAnsiTheme="minorHAnsi"/>
          <w:sz w:val="23"/>
          <w:szCs w:val="23"/>
        </w:rPr>
        <w:t xml:space="preserve">Diagnóstico </w:t>
      </w:r>
      <w:r w:rsidRPr="005153AD">
        <w:rPr>
          <w:rFonts w:asciiTheme="minorHAnsi" w:hAnsiTheme="minorHAnsi"/>
          <w:color w:val="000000" w:themeColor="text1"/>
          <w:sz w:val="23"/>
          <w:szCs w:val="23"/>
        </w:rPr>
        <w:t>de la situación inicial de las mujeres y los hom</w:t>
      </w:r>
      <w:r>
        <w:rPr>
          <w:rFonts w:asciiTheme="minorHAnsi" w:hAnsiTheme="minorHAnsi"/>
          <w:color w:val="000000" w:themeColor="text1"/>
          <w:sz w:val="23"/>
          <w:szCs w:val="23"/>
        </w:rPr>
        <w:t>bres en el ámbito específico de la norma propuesta</w:t>
      </w:r>
      <w:r w:rsidRPr="005153AD">
        <w:rPr>
          <w:rFonts w:asciiTheme="minorHAnsi" w:hAnsiTheme="minorHAnsi"/>
          <w:color w:val="000000" w:themeColor="text1"/>
          <w:sz w:val="23"/>
          <w:szCs w:val="23"/>
        </w:rPr>
        <w:t>, incluyendo en todo caso datos desagregados por sexos.</w:t>
      </w:r>
    </w:p>
    <w:p w:rsidR="005534C4" w:rsidRPr="005153AD" w:rsidRDefault="005534C4" w:rsidP="005534C4">
      <w:pPr>
        <w:pStyle w:val="Prrafodelista"/>
        <w:numPr>
          <w:ilvl w:val="0"/>
          <w:numId w:val="7"/>
        </w:numPr>
        <w:spacing w:after="120" w:line="276" w:lineRule="auto"/>
        <w:ind w:left="714" w:hanging="357"/>
        <w:contextualSpacing w:val="0"/>
        <w:jc w:val="both"/>
        <w:rPr>
          <w:rFonts w:asciiTheme="minorHAnsi" w:hAnsiTheme="minorHAnsi"/>
          <w:color w:val="000000" w:themeColor="text1"/>
          <w:sz w:val="23"/>
          <w:szCs w:val="23"/>
        </w:rPr>
      </w:pPr>
      <w:r w:rsidRPr="005153AD">
        <w:rPr>
          <w:rFonts w:asciiTheme="minorHAnsi" w:hAnsiTheme="minorHAnsi"/>
          <w:color w:val="000000" w:themeColor="text1"/>
          <w:sz w:val="23"/>
          <w:szCs w:val="23"/>
        </w:rPr>
        <w:t xml:space="preserve">Medidas que </w:t>
      </w:r>
      <w:r>
        <w:rPr>
          <w:rFonts w:asciiTheme="minorHAnsi" w:hAnsiTheme="minorHAnsi"/>
          <w:color w:val="000000" w:themeColor="text1"/>
          <w:sz w:val="23"/>
          <w:szCs w:val="23"/>
        </w:rPr>
        <w:t xml:space="preserve">la norma </w:t>
      </w:r>
      <w:r w:rsidRPr="005153AD">
        <w:rPr>
          <w:rFonts w:asciiTheme="minorHAnsi" w:hAnsiTheme="minorHAnsi"/>
          <w:color w:val="000000" w:themeColor="text1"/>
          <w:sz w:val="23"/>
          <w:szCs w:val="23"/>
        </w:rPr>
        <w:t>incorpora en su contenido que tiendan a neutralizar las posibles desigualdades detectadas, con la finalidad de alcanzar la igualdad de oportunidades.</w:t>
      </w:r>
    </w:p>
    <w:p w:rsidR="005534C4" w:rsidRPr="005153AD" w:rsidRDefault="005534C4" w:rsidP="005534C4">
      <w:pPr>
        <w:pStyle w:val="Prrafodelista"/>
        <w:numPr>
          <w:ilvl w:val="0"/>
          <w:numId w:val="7"/>
        </w:numPr>
        <w:spacing w:line="276" w:lineRule="auto"/>
        <w:jc w:val="both"/>
        <w:rPr>
          <w:rFonts w:asciiTheme="minorHAnsi" w:hAnsiTheme="minorHAnsi"/>
          <w:color w:val="000000" w:themeColor="text1"/>
          <w:sz w:val="23"/>
          <w:szCs w:val="23"/>
        </w:rPr>
      </w:pPr>
      <w:r w:rsidRPr="005153AD">
        <w:rPr>
          <w:rFonts w:asciiTheme="minorHAnsi" w:hAnsiTheme="minorHAnsi"/>
          <w:color w:val="000000" w:themeColor="text1"/>
          <w:sz w:val="23"/>
          <w:szCs w:val="23"/>
        </w:rPr>
        <w:t>Impacto positivo o negativo de la aplicación de la norma propuesta en relación con la igualdad de oportunidades entre mujeres y hombres.</w:t>
      </w:r>
    </w:p>
    <w:p w:rsidR="005534C4" w:rsidRPr="005153AD" w:rsidRDefault="005534C4" w:rsidP="005534C4">
      <w:pPr>
        <w:spacing w:line="276" w:lineRule="auto"/>
        <w:ind w:firstLine="708"/>
        <w:jc w:val="both"/>
        <w:rPr>
          <w:rFonts w:asciiTheme="minorHAnsi" w:hAnsiTheme="minorHAnsi"/>
          <w:color w:val="FF0000"/>
          <w:sz w:val="23"/>
          <w:szCs w:val="23"/>
        </w:rPr>
      </w:pPr>
    </w:p>
    <w:p w:rsidR="0038359E" w:rsidRPr="002642F0" w:rsidRDefault="002642F0" w:rsidP="002642F0">
      <w:pPr>
        <w:spacing w:line="276" w:lineRule="auto"/>
        <w:jc w:val="both"/>
        <w:rPr>
          <w:rFonts w:asciiTheme="minorHAnsi" w:hAnsiTheme="minorHAnsi"/>
          <w:sz w:val="23"/>
          <w:szCs w:val="23"/>
        </w:rPr>
      </w:pPr>
      <w:r>
        <w:rPr>
          <w:rFonts w:asciiTheme="minorHAnsi" w:hAnsiTheme="minorHAnsi"/>
          <w:sz w:val="23"/>
          <w:szCs w:val="23"/>
        </w:rPr>
        <w:t xml:space="preserve">            </w:t>
      </w:r>
      <w:r w:rsidR="00BD772D">
        <w:rPr>
          <w:rFonts w:asciiTheme="minorHAnsi" w:hAnsiTheme="minorHAnsi"/>
          <w:sz w:val="23"/>
          <w:szCs w:val="23"/>
        </w:rPr>
        <w:t xml:space="preserve">Siguiendo este esquema y por lo </w:t>
      </w:r>
      <w:r>
        <w:rPr>
          <w:rFonts w:asciiTheme="minorHAnsi" w:hAnsiTheme="minorHAnsi"/>
          <w:sz w:val="23"/>
          <w:szCs w:val="23"/>
        </w:rPr>
        <w:t>q</w:t>
      </w:r>
      <w:r w:rsidR="00BD772D">
        <w:rPr>
          <w:rFonts w:asciiTheme="minorHAnsi" w:hAnsiTheme="minorHAnsi"/>
          <w:sz w:val="23"/>
          <w:szCs w:val="23"/>
        </w:rPr>
        <w:t>ue se refiere al diagnóstico de la situaci</w:t>
      </w:r>
      <w:r>
        <w:rPr>
          <w:rFonts w:asciiTheme="minorHAnsi" w:hAnsiTheme="minorHAnsi"/>
          <w:sz w:val="23"/>
          <w:szCs w:val="23"/>
        </w:rPr>
        <w:t>ón inicia</w:t>
      </w:r>
      <w:r w:rsidR="00AB4071">
        <w:rPr>
          <w:rFonts w:asciiTheme="minorHAnsi" w:hAnsiTheme="minorHAnsi"/>
          <w:sz w:val="23"/>
          <w:szCs w:val="23"/>
        </w:rPr>
        <w:t>l</w:t>
      </w:r>
      <w:r>
        <w:rPr>
          <w:rFonts w:asciiTheme="minorHAnsi" w:hAnsiTheme="minorHAnsi"/>
          <w:sz w:val="23"/>
          <w:szCs w:val="23"/>
        </w:rPr>
        <w:t>, e</w:t>
      </w:r>
      <w:r w:rsidR="005534C4">
        <w:rPr>
          <w:rFonts w:asciiTheme="minorHAnsi" w:hAnsiTheme="minorHAnsi" w:cstheme="minorHAnsi"/>
          <w:sz w:val="23"/>
          <w:szCs w:val="23"/>
        </w:rPr>
        <w:t xml:space="preserve">n </w:t>
      </w:r>
      <w:r w:rsidR="00A43DE2">
        <w:rPr>
          <w:rFonts w:asciiTheme="minorHAnsi" w:hAnsiTheme="minorHAnsi" w:cstheme="minorHAnsi"/>
          <w:sz w:val="23"/>
          <w:szCs w:val="23"/>
        </w:rPr>
        <w:t xml:space="preserve">la memoria </w:t>
      </w:r>
      <w:r w:rsidR="00AB4071">
        <w:rPr>
          <w:rFonts w:asciiTheme="minorHAnsi" w:hAnsiTheme="minorHAnsi" w:cstheme="minorHAnsi"/>
          <w:sz w:val="23"/>
          <w:szCs w:val="23"/>
        </w:rPr>
        <w:t xml:space="preserve">del anteproyecto </w:t>
      </w:r>
      <w:r w:rsidR="005534C4">
        <w:rPr>
          <w:rFonts w:asciiTheme="minorHAnsi" w:hAnsiTheme="minorHAnsi" w:cstheme="minorHAnsi"/>
          <w:sz w:val="23"/>
          <w:szCs w:val="23"/>
        </w:rPr>
        <w:t xml:space="preserve">se </w:t>
      </w:r>
      <w:r w:rsidR="00A43DE2">
        <w:rPr>
          <w:rFonts w:asciiTheme="minorHAnsi" w:hAnsiTheme="minorHAnsi" w:cstheme="minorHAnsi"/>
          <w:sz w:val="23"/>
          <w:szCs w:val="23"/>
        </w:rPr>
        <w:t xml:space="preserve">señala que </w:t>
      </w:r>
      <w:r w:rsidR="00A43DE2" w:rsidRPr="005A2D84">
        <w:rPr>
          <w:rFonts w:asciiTheme="minorHAnsi" w:hAnsiTheme="minorHAnsi" w:cstheme="minorHAnsi"/>
          <w:sz w:val="23"/>
          <w:szCs w:val="23"/>
        </w:rPr>
        <w:t>“</w:t>
      </w:r>
      <w:r w:rsidR="00A43DE2" w:rsidRPr="005A2D84">
        <w:rPr>
          <w:rFonts w:asciiTheme="minorHAnsi" w:hAnsiTheme="minorHAnsi" w:cstheme="minorHAnsi"/>
          <w:sz w:val="23"/>
          <w:szCs w:val="23"/>
        </w:rPr>
        <w:t>la posición inicial en la que se encuentran las mujeres y hombres en el ámbito específico en el que pretende regular la norma es de igualdad</w:t>
      </w:r>
      <w:r w:rsidR="00A43DE2" w:rsidRPr="005A2D84">
        <w:rPr>
          <w:rFonts w:asciiTheme="minorHAnsi" w:hAnsiTheme="minorHAnsi" w:cstheme="minorHAnsi"/>
          <w:sz w:val="23"/>
          <w:szCs w:val="23"/>
        </w:rPr>
        <w:t>”. Sin embargo</w:t>
      </w:r>
      <w:r w:rsidR="002572FB">
        <w:rPr>
          <w:rFonts w:asciiTheme="minorHAnsi" w:hAnsiTheme="minorHAnsi" w:cstheme="minorHAnsi"/>
          <w:sz w:val="23"/>
          <w:szCs w:val="23"/>
        </w:rPr>
        <w:t>,</w:t>
      </w:r>
      <w:r w:rsidR="00A43DE2" w:rsidRPr="005A2D84">
        <w:rPr>
          <w:rFonts w:asciiTheme="minorHAnsi" w:hAnsiTheme="minorHAnsi" w:cstheme="minorHAnsi"/>
          <w:sz w:val="23"/>
          <w:szCs w:val="23"/>
        </w:rPr>
        <w:t xml:space="preserve"> esta</w:t>
      </w:r>
      <w:r w:rsidR="00A43DE2">
        <w:rPr>
          <w:rFonts w:asciiTheme="minorHAnsi" w:hAnsiTheme="minorHAnsi" w:cstheme="minorHAnsi"/>
          <w:sz w:val="23"/>
          <w:szCs w:val="23"/>
        </w:rPr>
        <w:t xml:space="preserve"> afirmación de</w:t>
      </w:r>
      <w:r w:rsidR="002572FB">
        <w:rPr>
          <w:rFonts w:asciiTheme="minorHAnsi" w:hAnsiTheme="minorHAnsi" w:cstheme="minorHAnsi"/>
          <w:sz w:val="23"/>
          <w:szCs w:val="23"/>
        </w:rPr>
        <w:t xml:space="preserve">bería haber estado precedida por </w:t>
      </w:r>
      <w:r w:rsidR="00A43DE2">
        <w:rPr>
          <w:rFonts w:asciiTheme="minorHAnsi" w:hAnsiTheme="minorHAnsi" w:cstheme="minorHAnsi"/>
          <w:sz w:val="23"/>
          <w:szCs w:val="23"/>
        </w:rPr>
        <w:t>los datos que la</w:t>
      </w:r>
      <w:r w:rsidR="002572FB">
        <w:rPr>
          <w:rFonts w:asciiTheme="minorHAnsi" w:hAnsiTheme="minorHAnsi" w:cstheme="minorHAnsi"/>
          <w:sz w:val="23"/>
          <w:szCs w:val="23"/>
        </w:rPr>
        <w:t xml:space="preserve"> corroborasen</w:t>
      </w:r>
      <w:r w:rsidR="00A43DE2">
        <w:rPr>
          <w:rFonts w:asciiTheme="minorHAnsi" w:hAnsiTheme="minorHAnsi" w:cstheme="minorHAnsi"/>
          <w:sz w:val="23"/>
          <w:szCs w:val="23"/>
        </w:rPr>
        <w:t xml:space="preserve">. Cierto es que parte de la regulación contenida en el anteproyecto no tiene mayor relevancia respecto de la situación de partida de mujeres y hombres pero no así </w:t>
      </w:r>
      <w:r w:rsidR="002572FB">
        <w:rPr>
          <w:rFonts w:asciiTheme="minorHAnsi" w:hAnsiTheme="minorHAnsi" w:cstheme="minorHAnsi"/>
          <w:sz w:val="23"/>
          <w:szCs w:val="23"/>
        </w:rPr>
        <w:t>la parte dedicada a las políticas de juego responsable (nuevo título VII de la ley) y la dedicada a las medidas de prevención del juego problemático o patológico (nuevo  título VIII de la ley)</w:t>
      </w:r>
      <w:r w:rsidR="00E077CD">
        <w:rPr>
          <w:rFonts w:asciiTheme="minorHAnsi" w:hAnsiTheme="minorHAnsi" w:cstheme="minorHAnsi"/>
          <w:sz w:val="23"/>
          <w:szCs w:val="23"/>
        </w:rPr>
        <w:t xml:space="preserve">. Estos ámbitos de intervención deberían incluir la perspectiva de género atendiendo a los estudios que confirman que la situación de partidas de mujeres y hombres frente a los problemas </w:t>
      </w:r>
      <w:r w:rsidR="00AB4071">
        <w:rPr>
          <w:rFonts w:asciiTheme="minorHAnsi" w:hAnsiTheme="minorHAnsi" w:cstheme="minorHAnsi"/>
          <w:sz w:val="23"/>
          <w:szCs w:val="23"/>
        </w:rPr>
        <w:t>con el</w:t>
      </w:r>
      <w:r w:rsidR="00E077CD">
        <w:rPr>
          <w:rFonts w:asciiTheme="minorHAnsi" w:hAnsiTheme="minorHAnsi" w:cstheme="minorHAnsi"/>
          <w:sz w:val="23"/>
          <w:szCs w:val="23"/>
        </w:rPr>
        <w:t xml:space="preserve"> juego no es la misma. En concreto, </w:t>
      </w:r>
      <w:r w:rsidR="00623AF6">
        <w:rPr>
          <w:rFonts w:asciiTheme="minorHAnsi" w:hAnsiTheme="minorHAnsi" w:cstheme="minorHAnsi"/>
          <w:sz w:val="23"/>
          <w:szCs w:val="23"/>
        </w:rPr>
        <w:t xml:space="preserve">y sin </w:t>
      </w:r>
      <w:r w:rsidR="00AB4071">
        <w:rPr>
          <w:rFonts w:asciiTheme="minorHAnsi" w:hAnsiTheme="minorHAnsi" w:cstheme="minorHAnsi"/>
          <w:sz w:val="23"/>
          <w:szCs w:val="23"/>
        </w:rPr>
        <w:t xml:space="preserve">vocación de </w:t>
      </w:r>
      <w:r w:rsidR="00623AF6">
        <w:rPr>
          <w:rFonts w:asciiTheme="minorHAnsi" w:hAnsiTheme="minorHAnsi" w:cstheme="minorHAnsi"/>
          <w:sz w:val="23"/>
          <w:szCs w:val="23"/>
        </w:rPr>
        <w:t xml:space="preserve">realizar un estudio </w:t>
      </w:r>
      <w:r w:rsidR="00AB4071">
        <w:rPr>
          <w:rFonts w:asciiTheme="minorHAnsi" w:hAnsiTheme="minorHAnsi" w:cstheme="minorHAnsi"/>
          <w:sz w:val="23"/>
          <w:szCs w:val="23"/>
        </w:rPr>
        <w:t>en detalle</w:t>
      </w:r>
      <w:r w:rsidR="00623AF6">
        <w:rPr>
          <w:rFonts w:asciiTheme="minorHAnsi" w:hAnsiTheme="minorHAnsi" w:cstheme="minorHAnsi"/>
          <w:sz w:val="23"/>
          <w:szCs w:val="23"/>
        </w:rPr>
        <w:t xml:space="preserve">, </w:t>
      </w:r>
      <w:r w:rsidR="00E077CD">
        <w:rPr>
          <w:rFonts w:asciiTheme="minorHAnsi" w:hAnsiTheme="minorHAnsi" w:cstheme="minorHAnsi"/>
          <w:sz w:val="23"/>
          <w:szCs w:val="23"/>
        </w:rPr>
        <w:t xml:space="preserve">son distintos </w:t>
      </w:r>
      <w:r w:rsidR="00AB4071">
        <w:rPr>
          <w:rFonts w:asciiTheme="minorHAnsi" w:hAnsiTheme="minorHAnsi" w:cstheme="minorHAnsi"/>
          <w:sz w:val="23"/>
          <w:szCs w:val="23"/>
        </w:rPr>
        <w:t xml:space="preserve">los </w:t>
      </w:r>
      <w:r w:rsidR="00E077CD">
        <w:rPr>
          <w:rFonts w:asciiTheme="minorHAnsi" w:hAnsiTheme="minorHAnsi" w:cstheme="minorHAnsi"/>
          <w:sz w:val="23"/>
          <w:szCs w:val="23"/>
        </w:rPr>
        <w:t xml:space="preserve">motivos que inducen al juego problemático </w:t>
      </w:r>
      <w:r w:rsidR="00AB4071">
        <w:rPr>
          <w:rFonts w:asciiTheme="minorHAnsi" w:hAnsiTheme="minorHAnsi" w:cstheme="minorHAnsi"/>
          <w:sz w:val="23"/>
          <w:szCs w:val="23"/>
        </w:rPr>
        <w:t xml:space="preserve">a mujeres y hombres </w:t>
      </w:r>
      <w:r w:rsidR="00E077CD">
        <w:rPr>
          <w:rFonts w:asciiTheme="minorHAnsi" w:hAnsiTheme="minorHAnsi" w:cstheme="minorHAnsi"/>
          <w:sz w:val="23"/>
          <w:szCs w:val="23"/>
        </w:rPr>
        <w:t xml:space="preserve">y distinto el estigma </w:t>
      </w:r>
      <w:r w:rsidR="00623AF6">
        <w:rPr>
          <w:rFonts w:asciiTheme="minorHAnsi" w:hAnsiTheme="minorHAnsi" w:cstheme="minorHAnsi"/>
          <w:sz w:val="23"/>
          <w:szCs w:val="23"/>
        </w:rPr>
        <w:t xml:space="preserve">que socialmente representa para cada uno de los géneros; también la edad en que el juego se convierte en una actividad problemática. En cuanto al primero de los aspectos señalados, </w:t>
      </w:r>
      <w:r w:rsidR="00AB4071">
        <w:rPr>
          <w:rFonts w:asciiTheme="minorHAnsi" w:hAnsiTheme="minorHAnsi" w:cstheme="minorHAnsi"/>
          <w:sz w:val="23"/>
          <w:szCs w:val="23"/>
        </w:rPr>
        <w:t>entre las causas que indu</w:t>
      </w:r>
      <w:r w:rsidR="00623AF6">
        <w:rPr>
          <w:rFonts w:asciiTheme="minorHAnsi" w:hAnsiTheme="minorHAnsi" w:cstheme="minorHAnsi"/>
          <w:sz w:val="23"/>
          <w:szCs w:val="23"/>
        </w:rPr>
        <w:t xml:space="preserve">cen a un juego problemático </w:t>
      </w:r>
      <w:r w:rsidR="00AB4071">
        <w:rPr>
          <w:rFonts w:asciiTheme="minorHAnsi" w:hAnsiTheme="minorHAnsi" w:cstheme="minorHAnsi"/>
          <w:sz w:val="23"/>
          <w:szCs w:val="23"/>
        </w:rPr>
        <w:t>en el caso de</w:t>
      </w:r>
      <w:r w:rsidR="00623AF6">
        <w:rPr>
          <w:rFonts w:asciiTheme="minorHAnsi" w:hAnsiTheme="minorHAnsi" w:cstheme="minorHAnsi"/>
          <w:sz w:val="23"/>
          <w:szCs w:val="23"/>
        </w:rPr>
        <w:t xml:space="preserve"> las mujeres se encuentra la necesidad de mitigar tristeza, soledad o frustración mientras que el motivo </w:t>
      </w:r>
      <w:r w:rsidR="00AB4071">
        <w:rPr>
          <w:rFonts w:asciiTheme="minorHAnsi" w:hAnsiTheme="minorHAnsi" w:cstheme="minorHAnsi"/>
          <w:sz w:val="23"/>
          <w:szCs w:val="23"/>
        </w:rPr>
        <w:t xml:space="preserve">principal </w:t>
      </w:r>
      <w:r w:rsidR="00623AF6">
        <w:rPr>
          <w:rFonts w:asciiTheme="minorHAnsi" w:hAnsiTheme="minorHAnsi" w:cstheme="minorHAnsi"/>
          <w:sz w:val="23"/>
          <w:szCs w:val="23"/>
        </w:rPr>
        <w:t>de los hombres está relacionado con</w:t>
      </w:r>
      <w:r w:rsidR="00AB4071">
        <w:rPr>
          <w:rFonts w:asciiTheme="minorHAnsi" w:hAnsiTheme="minorHAnsi" w:cstheme="minorHAnsi"/>
          <w:sz w:val="23"/>
          <w:szCs w:val="23"/>
        </w:rPr>
        <w:t xml:space="preserve"> la excitación que genera</w:t>
      </w:r>
      <w:r w:rsidR="00623AF6">
        <w:rPr>
          <w:rFonts w:asciiTheme="minorHAnsi" w:hAnsiTheme="minorHAnsi" w:cstheme="minorHAnsi"/>
          <w:sz w:val="23"/>
          <w:szCs w:val="23"/>
        </w:rPr>
        <w:t xml:space="preserve"> ganar premios. Por lo que se refiere a las consecuencias de esa adicción la sociedad castiga más a la mujer ludópata que al hombre</w:t>
      </w:r>
      <w:r w:rsidR="00AB4071">
        <w:rPr>
          <w:rFonts w:asciiTheme="minorHAnsi" w:hAnsiTheme="minorHAnsi" w:cstheme="minorHAnsi"/>
          <w:sz w:val="23"/>
          <w:szCs w:val="23"/>
        </w:rPr>
        <w:t xml:space="preserve"> ludópata</w:t>
      </w:r>
      <w:r w:rsidR="00623AF6">
        <w:rPr>
          <w:rFonts w:asciiTheme="minorHAnsi" w:hAnsiTheme="minorHAnsi" w:cstheme="minorHAnsi"/>
          <w:sz w:val="23"/>
          <w:szCs w:val="23"/>
        </w:rPr>
        <w:t xml:space="preserve"> motivo por el que, al igual que ocurre con las adicciones con sustancia, las mujeres tardan </w:t>
      </w:r>
      <w:r w:rsidR="00AB4071">
        <w:rPr>
          <w:rFonts w:asciiTheme="minorHAnsi" w:hAnsiTheme="minorHAnsi" w:cstheme="minorHAnsi"/>
          <w:sz w:val="23"/>
          <w:szCs w:val="23"/>
        </w:rPr>
        <w:t xml:space="preserve">más </w:t>
      </w:r>
      <w:r w:rsidR="00623AF6">
        <w:rPr>
          <w:rFonts w:asciiTheme="minorHAnsi" w:hAnsiTheme="minorHAnsi" w:cstheme="minorHAnsi"/>
          <w:sz w:val="23"/>
          <w:szCs w:val="23"/>
        </w:rPr>
        <w:t xml:space="preserve">tiempo en buscar ayuda para superar la adicción. En definitiva, hay estudios que indican que el género tiene un papel relevante en la evolución de </w:t>
      </w:r>
      <w:r w:rsidR="00043BBB">
        <w:rPr>
          <w:rFonts w:asciiTheme="minorHAnsi" w:hAnsiTheme="minorHAnsi" w:cstheme="minorHAnsi"/>
          <w:sz w:val="23"/>
          <w:szCs w:val="23"/>
        </w:rPr>
        <w:t xml:space="preserve">esta problemática, </w:t>
      </w:r>
      <w:r w:rsidR="00623AF6">
        <w:rPr>
          <w:rFonts w:asciiTheme="minorHAnsi" w:hAnsiTheme="minorHAnsi" w:cstheme="minorHAnsi"/>
          <w:sz w:val="23"/>
          <w:szCs w:val="23"/>
        </w:rPr>
        <w:t xml:space="preserve">por lo que este aspecto debería ser tenido en cuenta a la hora de regular los principios y contenidos de las políticas dirigidas a la prevención </w:t>
      </w:r>
      <w:r w:rsidR="00043BBB">
        <w:rPr>
          <w:rFonts w:asciiTheme="minorHAnsi" w:hAnsiTheme="minorHAnsi" w:cstheme="minorHAnsi"/>
          <w:sz w:val="23"/>
          <w:szCs w:val="23"/>
        </w:rPr>
        <w:t xml:space="preserve">del juego problemático o patológico </w:t>
      </w:r>
      <w:r w:rsidR="00623AF6">
        <w:rPr>
          <w:rFonts w:asciiTheme="minorHAnsi" w:hAnsiTheme="minorHAnsi" w:cstheme="minorHAnsi"/>
          <w:sz w:val="23"/>
          <w:szCs w:val="23"/>
        </w:rPr>
        <w:t xml:space="preserve">y a favorecer el juego responsable. El porcentaje de adictos </w:t>
      </w:r>
      <w:r w:rsidR="00043BBB">
        <w:rPr>
          <w:rFonts w:asciiTheme="minorHAnsi" w:hAnsiTheme="minorHAnsi" w:cstheme="minorHAnsi"/>
          <w:sz w:val="23"/>
          <w:szCs w:val="23"/>
        </w:rPr>
        <w:t>al</w:t>
      </w:r>
      <w:r w:rsidR="00623AF6">
        <w:rPr>
          <w:rFonts w:asciiTheme="minorHAnsi" w:hAnsiTheme="minorHAnsi" w:cstheme="minorHAnsi"/>
          <w:sz w:val="23"/>
          <w:szCs w:val="23"/>
        </w:rPr>
        <w:t xml:space="preserve"> juego es mayor en hombres que en mujeres, circunstancia que induce a pensar que las campañas de sensibilización y otras medidas de prevención y atención a las personas con ludopatía pudieran estar enfocadas a las causas y consecuencias que generan </w:t>
      </w:r>
      <w:r w:rsidR="00043BBB">
        <w:rPr>
          <w:rFonts w:asciiTheme="minorHAnsi" w:hAnsiTheme="minorHAnsi" w:cstheme="minorHAnsi"/>
          <w:sz w:val="23"/>
          <w:szCs w:val="23"/>
        </w:rPr>
        <w:t xml:space="preserve">las </w:t>
      </w:r>
      <w:r w:rsidR="00623AF6">
        <w:rPr>
          <w:rFonts w:asciiTheme="minorHAnsi" w:hAnsiTheme="minorHAnsi" w:cstheme="minorHAnsi"/>
          <w:sz w:val="23"/>
          <w:szCs w:val="23"/>
        </w:rPr>
        <w:t xml:space="preserve">conductas de juego problemático en los hombres. Para que las previsiones de esta norma tengan un efecto equivalente para mujeres y hombres, es decir, para que se beneficien por igual </w:t>
      </w:r>
      <w:r w:rsidR="00043BBB">
        <w:rPr>
          <w:rFonts w:asciiTheme="minorHAnsi" w:hAnsiTheme="minorHAnsi" w:cstheme="minorHAnsi"/>
          <w:sz w:val="23"/>
          <w:szCs w:val="23"/>
        </w:rPr>
        <w:t xml:space="preserve">mujeres y hombres </w:t>
      </w:r>
      <w:r w:rsidR="00623AF6">
        <w:rPr>
          <w:rFonts w:asciiTheme="minorHAnsi" w:hAnsiTheme="minorHAnsi" w:cstheme="minorHAnsi"/>
          <w:sz w:val="23"/>
          <w:szCs w:val="23"/>
        </w:rPr>
        <w:t xml:space="preserve">de las políticas que se diseñen e implementen para evitar el juego problemático y patológico sería deseable que </w:t>
      </w:r>
      <w:r w:rsidR="00C83262">
        <w:rPr>
          <w:rFonts w:asciiTheme="minorHAnsi" w:hAnsiTheme="minorHAnsi" w:cstheme="minorHAnsi"/>
          <w:sz w:val="23"/>
          <w:szCs w:val="23"/>
        </w:rPr>
        <w:t xml:space="preserve">incluyesen </w:t>
      </w:r>
      <w:r w:rsidR="00BE065D">
        <w:rPr>
          <w:rFonts w:asciiTheme="minorHAnsi" w:hAnsiTheme="minorHAnsi" w:cstheme="minorHAnsi"/>
          <w:sz w:val="23"/>
          <w:szCs w:val="23"/>
        </w:rPr>
        <w:t xml:space="preserve">la perspectiva de género, es decir, que </w:t>
      </w:r>
      <w:r w:rsidR="00FA70B5">
        <w:rPr>
          <w:rFonts w:asciiTheme="minorHAnsi" w:hAnsiTheme="minorHAnsi" w:cstheme="minorHAnsi"/>
          <w:sz w:val="23"/>
          <w:szCs w:val="23"/>
        </w:rPr>
        <w:t xml:space="preserve">recojan principios informadores y </w:t>
      </w:r>
      <w:r w:rsidR="00BE065D">
        <w:rPr>
          <w:rFonts w:asciiTheme="minorHAnsi" w:hAnsiTheme="minorHAnsi" w:cstheme="minorHAnsi"/>
          <w:sz w:val="23"/>
          <w:szCs w:val="23"/>
        </w:rPr>
        <w:t>pre</w:t>
      </w:r>
      <w:r w:rsidR="00043BBB">
        <w:rPr>
          <w:rFonts w:asciiTheme="minorHAnsi" w:hAnsiTheme="minorHAnsi" w:cstheme="minorHAnsi"/>
          <w:sz w:val="23"/>
          <w:szCs w:val="23"/>
        </w:rPr>
        <w:t>ve</w:t>
      </w:r>
      <w:r w:rsidR="00BE065D">
        <w:rPr>
          <w:rFonts w:asciiTheme="minorHAnsi" w:hAnsiTheme="minorHAnsi" w:cstheme="minorHAnsi"/>
          <w:sz w:val="23"/>
          <w:szCs w:val="23"/>
        </w:rPr>
        <w:t>an medidas diferenciadas que garanticen que las políticas sean igualmente efectivas para ambos sexos.</w:t>
      </w:r>
      <w:r w:rsidR="00043BBB">
        <w:rPr>
          <w:rFonts w:asciiTheme="minorHAnsi" w:hAnsiTheme="minorHAnsi" w:cstheme="minorHAnsi"/>
          <w:sz w:val="23"/>
          <w:szCs w:val="23"/>
        </w:rPr>
        <w:t xml:space="preserve"> Sólo </w:t>
      </w:r>
      <w:r w:rsidR="00FA70B5">
        <w:rPr>
          <w:rFonts w:asciiTheme="minorHAnsi" w:hAnsiTheme="minorHAnsi" w:cstheme="minorHAnsi"/>
          <w:sz w:val="23"/>
          <w:szCs w:val="23"/>
        </w:rPr>
        <w:t xml:space="preserve">las </w:t>
      </w:r>
      <w:r w:rsidR="00043BBB">
        <w:rPr>
          <w:rFonts w:asciiTheme="minorHAnsi" w:hAnsiTheme="minorHAnsi" w:cstheme="minorHAnsi"/>
          <w:sz w:val="23"/>
          <w:szCs w:val="23"/>
        </w:rPr>
        <w:t xml:space="preserve">políticas que </w:t>
      </w:r>
      <w:r w:rsidR="00FA70B5">
        <w:rPr>
          <w:rFonts w:asciiTheme="minorHAnsi" w:hAnsiTheme="minorHAnsi" w:cstheme="minorHAnsi"/>
          <w:sz w:val="23"/>
          <w:szCs w:val="23"/>
        </w:rPr>
        <w:t>permitan desarrollar actuaciones igualmente adecuadas para mujeres y para hombres y que ataquen a las causas diferenciales que impulsan al juego problemático a uno u otro género tendrán un impacto positivo, ayudando a reducir las desigualdades entre mujeres y hombre y al logro de la igualdad real.</w:t>
      </w:r>
    </w:p>
    <w:p w:rsidR="00D46767" w:rsidRPr="00AE5A9F" w:rsidRDefault="00D46767" w:rsidP="00AE5A9F">
      <w:pPr>
        <w:spacing w:line="276" w:lineRule="auto"/>
        <w:ind w:firstLine="708"/>
        <w:jc w:val="both"/>
        <w:rPr>
          <w:rFonts w:asciiTheme="minorHAnsi" w:hAnsiTheme="minorHAnsi" w:cstheme="minorHAnsi"/>
          <w:sz w:val="23"/>
          <w:szCs w:val="23"/>
        </w:rPr>
      </w:pPr>
    </w:p>
    <w:p w:rsidR="00502B32" w:rsidRPr="00AE5A9F" w:rsidRDefault="00FA70B5" w:rsidP="00AE5A9F">
      <w:pPr>
        <w:spacing w:line="276" w:lineRule="auto"/>
        <w:ind w:firstLine="708"/>
        <w:jc w:val="both"/>
        <w:rPr>
          <w:rFonts w:asciiTheme="minorHAnsi" w:hAnsiTheme="minorHAnsi" w:cstheme="minorHAnsi"/>
          <w:sz w:val="23"/>
          <w:szCs w:val="23"/>
        </w:rPr>
      </w:pPr>
      <w:r>
        <w:rPr>
          <w:rFonts w:asciiTheme="minorHAnsi" w:hAnsiTheme="minorHAnsi" w:cstheme="minorHAnsi"/>
          <w:sz w:val="23"/>
          <w:szCs w:val="23"/>
        </w:rPr>
        <w:t>Debe</w:t>
      </w:r>
      <w:r w:rsidR="00BE065D">
        <w:rPr>
          <w:rFonts w:asciiTheme="minorHAnsi" w:hAnsiTheme="minorHAnsi" w:cstheme="minorHAnsi"/>
          <w:sz w:val="23"/>
          <w:szCs w:val="23"/>
        </w:rPr>
        <w:t xml:space="preserve"> tener</w:t>
      </w:r>
      <w:r>
        <w:rPr>
          <w:rFonts w:asciiTheme="minorHAnsi" w:hAnsiTheme="minorHAnsi" w:cstheme="minorHAnsi"/>
          <w:sz w:val="23"/>
          <w:szCs w:val="23"/>
        </w:rPr>
        <w:t>se</w:t>
      </w:r>
      <w:r w:rsidR="00BE065D">
        <w:rPr>
          <w:rFonts w:asciiTheme="minorHAnsi" w:hAnsiTheme="minorHAnsi" w:cstheme="minorHAnsi"/>
          <w:sz w:val="23"/>
          <w:szCs w:val="23"/>
        </w:rPr>
        <w:t xml:space="preserve"> en cuenta</w:t>
      </w:r>
      <w:r>
        <w:rPr>
          <w:rFonts w:asciiTheme="minorHAnsi" w:hAnsiTheme="minorHAnsi" w:cstheme="minorHAnsi"/>
          <w:sz w:val="23"/>
          <w:szCs w:val="23"/>
        </w:rPr>
        <w:t>, además,</w:t>
      </w:r>
      <w:r w:rsidR="00BE065D">
        <w:rPr>
          <w:rFonts w:asciiTheme="minorHAnsi" w:hAnsiTheme="minorHAnsi" w:cstheme="minorHAnsi"/>
          <w:sz w:val="23"/>
          <w:szCs w:val="23"/>
        </w:rPr>
        <w:t xml:space="preserve"> </w:t>
      </w:r>
      <w:r w:rsidR="00BE065D" w:rsidRPr="00FA70B5">
        <w:rPr>
          <w:rFonts w:asciiTheme="minorHAnsi" w:hAnsiTheme="minorHAnsi" w:cstheme="minorHAnsi"/>
          <w:sz w:val="23"/>
          <w:szCs w:val="23"/>
        </w:rPr>
        <w:t>que</w:t>
      </w:r>
      <w:r w:rsidR="00E16EBE" w:rsidRPr="00FA70B5">
        <w:rPr>
          <w:rFonts w:asciiTheme="minorHAnsi" w:hAnsiTheme="minorHAnsi" w:cstheme="minorHAnsi"/>
          <w:sz w:val="23"/>
          <w:szCs w:val="23"/>
        </w:rPr>
        <w:t xml:space="preserve"> </w:t>
      </w:r>
      <w:r w:rsidR="00BE065D" w:rsidRPr="00FA70B5">
        <w:rPr>
          <w:rFonts w:asciiTheme="minorHAnsi" w:hAnsiTheme="minorHAnsi" w:cstheme="minorHAnsi"/>
          <w:sz w:val="23"/>
          <w:szCs w:val="23"/>
        </w:rPr>
        <w:t xml:space="preserve">en todo texto normativo </w:t>
      </w:r>
      <w:r w:rsidR="00E16EBE" w:rsidRPr="00FA70B5">
        <w:rPr>
          <w:rFonts w:asciiTheme="minorHAnsi" w:hAnsiTheme="minorHAnsi" w:cstheme="minorHAnsi"/>
          <w:sz w:val="23"/>
          <w:szCs w:val="23"/>
        </w:rPr>
        <w:t xml:space="preserve">ha de prestarse atención a  aspectos  como la utilización de un lenguaje </w:t>
      </w:r>
      <w:r w:rsidR="00BE065D" w:rsidRPr="00FA70B5">
        <w:rPr>
          <w:rFonts w:asciiTheme="minorHAnsi" w:hAnsiTheme="minorHAnsi" w:cstheme="minorHAnsi"/>
          <w:sz w:val="23"/>
          <w:szCs w:val="23"/>
        </w:rPr>
        <w:t>no sexista</w:t>
      </w:r>
      <w:r w:rsidR="00BE065D">
        <w:rPr>
          <w:rFonts w:asciiTheme="minorHAnsi" w:hAnsiTheme="minorHAnsi" w:cstheme="minorHAnsi"/>
          <w:b/>
          <w:sz w:val="23"/>
          <w:szCs w:val="23"/>
        </w:rPr>
        <w:t>.</w:t>
      </w:r>
      <w:r w:rsidR="00BE065D" w:rsidRPr="00FA70B5">
        <w:rPr>
          <w:rFonts w:asciiTheme="minorHAnsi" w:hAnsiTheme="minorHAnsi" w:cstheme="minorHAnsi"/>
          <w:sz w:val="23"/>
          <w:szCs w:val="23"/>
        </w:rPr>
        <w:t xml:space="preserve"> L</w:t>
      </w:r>
      <w:r w:rsidR="00E16EBE" w:rsidRPr="00FA70B5">
        <w:rPr>
          <w:rFonts w:asciiTheme="minorHAnsi" w:hAnsiTheme="minorHAnsi" w:cstheme="minorHAnsi"/>
          <w:sz w:val="23"/>
          <w:szCs w:val="23"/>
        </w:rPr>
        <w:t>a</w:t>
      </w:r>
      <w:r w:rsidR="00E16EBE" w:rsidRPr="00AE5A9F">
        <w:rPr>
          <w:rFonts w:asciiTheme="minorHAnsi" w:hAnsiTheme="minorHAnsi" w:cstheme="minorHAnsi"/>
          <w:sz w:val="23"/>
          <w:szCs w:val="23"/>
        </w:rPr>
        <w:t xml:space="preserve"> Junta de Castilla y León, a través de la Escuela de Administración Pública de Castilla y León, ha editado el Manual para un Uso no Sexist</w:t>
      </w:r>
      <w:r w:rsidR="00FF0434" w:rsidRPr="00AE5A9F">
        <w:rPr>
          <w:rFonts w:asciiTheme="minorHAnsi" w:hAnsiTheme="minorHAnsi" w:cstheme="minorHAnsi"/>
          <w:sz w:val="23"/>
          <w:szCs w:val="23"/>
        </w:rPr>
        <w:t>a del Lenguaje Administrativo.</w:t>
      </w:r>
    </w:p>
    <w:p w:rsidR="00FF0434" w:rsidRPr="00AE5A9F" w:rsidRDefault="00FF0434" w:rsidP="00AE5A9F">
      <w:pPr>
        <w:spacing w:line="276" w:lineRule="auto"/>
        <w:ind w:firstLine="708"/>
        <w:jc w:val="both"/>
        <w:rPr>
          <w:rFonts w:asciiTheme="minorHAnsi" w:hAnsiTheme="minorHAnsi" w:cstheme="minorHAnsi"/>
          <w:sz w:val="23"/>
          <w:szCs w:val="23"/>
        </w:rPr>
      </w:pPr>
    </w:p>
    <w:p w:rsidR="0095383C" w:rsidRPr="00AE5A9F" w:rsidRDefault="00FF0434" w:rsidP="00BE065D">
      <w:pPr>
        <w:spacing w:line="276" w:lineRule="auto"/>
        <w:ind w:firstLine="708"/>
        <w:jc w:val="both"/>
        <w:rPr>
          <w:rFonts w:asciiTheme="minorHAnsi" w:hAnsiTheme="minorHAnsi" w:cstheme="minorHAnsi"/>
          <w:sz w:val="23"/>
          <w:szCs w:val="23"/>
        </w:rPr>
      </w:pPr>
      <w:r w:rsidRPr="00AE5A9F">
        <w:rPr>
          <w:rFonts w:asciiTheme="minorHAnsi" w:hAnsiTheme="minorHAnsi" w:cstheme="minorHAnsi"/>
          <w:sz w:val="23"/>
          <w:szCs w:val="23"/>
        </w:rPr>
        <w:t>En relación con el lenguaje</w:t>
      </w:r>
      <w:r w:rsidR="00502B32" w:rsidRPr="00AE5A9F">
        <w:rPr>
          <w:rFonts w:asciiTheme="minorHAnsi" w:hAnsiTheme="minorHAnsi" w:cstheme="minorHAnsi"/>
          <w:sz w:val="23"/>
          <w:szCs w:val="23"/>
        </w:rPr>
        <w:t>,</w:t>
      </w:r>
      <w:r w:rsidR="00E9207D" w:rsidRPr="00AE5A9F">
        <w:rPr>
          <w:rFonts w:asciiTheme="minorHAnsi" w:hAnsiTheme="minorHAnsi" w:cstheme="minorHAnsi"/>
          <w:sz w:val="23"/>
          <w:szCs w:val="23"/>
        </w:rPr>
        <w:t xml:space="preserve"> </w:t>
      </w:r>
      <w:r w:rsidR="000C78F6" w:rsidRPr="00AE5A9F">
        <w:rPr>
          <w:rFonts w:asciiTheme="minorHAnsi" w:hAnsiTheme="minorHAnsi" w:cstheme="minorHAnsi"/>
          <w:sz w:val="23"/>
          <w:szCs w:val="23"/>
        </w:rPr>
        <w:t>se sugiere sustituir algunas palabras empleadas en masculino</w:t>
      </w:r>
      <w:r w:rsidR="00052FAC" w:rsidRPr="00AE5A9F">
        <w:rPr>
          <w:rFonts w:asciiTheme="minorHAnsi" w:hAnsiTheme="minorHAnsi" w:cstheme="minorHAnsi"/>
          <w:sz w:val="23"/>
          <w:szCs w:val="23"/>
        </w:rPr>
        <w:t xml:space="preserve"> </w:t>
      </w:r>
      <w:r w:rsidR="00737B11" w:rsidRPr="00AE5A9F">
        <w:rPr>
          <w:rFonts w:asciiTheme="minorHAnsi" w:hAnsiTheme="minorHAnsi" w:cstheme="minorHAnsi"/>
          <w:sz w:val="23"/>
          <w:szCs w:val="23"/>
        </w:rPr>
        <w:t>para</w:t>
      </w:r>
      <w:r w:rsidR="00052FAC" w:rsidRPr="00AE5A9F">
        <w:rPr>
          <w:rFonts w:asciiTheme="minorHAnsi" w:hAnsiTheme="minorHAnsi" w:cstheme="minorHAnsi"/>
          <w:sz w:val="23"/>
          <w:szCs w:val="23"/>
        </w:rPr>
        <w:t xml:space="preserve"> ayuda</w:t>
      </w:r>
      <w:r w:rsidR="00737B11" w:rsidRPr="00AE5A9F">
        <w:rPr>
          <w:rFonts w:asciiTheme="minorHAnsi" w:hAnsiTheme="minorHAnsi" w:cstheme="minorHAnsi"/>
          <w:sz w:val="23"/>
          <w:szCs w:val="23"/>
        </w:rPr>
        <w:t>r</w:t>
      </w:r>
      <w:r w:rsidR="000C78F6" w:rsidRPr="00AE5A9F">
        <w:rPr>
          <w:rFonts w:asciiTheme="minorHAnsi" w:hAnsiTheme="minorHAnsi" w:cstheme="minorHAnsi"/>
          <w:sz w:val="23"/>
          <w:szCs w:val="23"/>
        </w:rPr>
        <w:t xml:space="preserve"> a la identificación de las mujeres como parte de l</w:t>
      </w:r>
      <w:r w:rsidR="00052FAC" w:rsidRPr="00AE5A9F">
        <w:rPr>
          <w:rFonts w:asciiTheme="minorHAnsi" w:hAnsiTheme="minorHAnsi" w:cstheme="minorHAnsi"/>
          <w:sz w:val="23"/>
          <w:szCs w:val="23"/>
        </w:rPr>
        <w:t>a sociedad</w:t>
      </w:r>
      <w:r w:rsidR="00BE065D">
        <w:rPr>
          <w:rFonts w:asciiTheme="minorHAnsi" w:hAnsiTheme="minorHAnsi" w:cstheme="minorHAnsi"/>
          <w:sz w:val="23"/>
          <w:szCs w:val="23"/>
        </w:rPr>
        <w:t xml:space="preserve"> y, en este caso concreto, de los problemas vinculados con el juego para que se visibilice que también afecta a </w:t>
      </w:r>
      <w:r w:rsidR="00BE065D">
        <w:rPr>
          <w:rFonts w:asciiTheme="minorHAnsi" w:hAnsiTheme="minorHAnsi" w:cstheme="minorHAnsi"/>
          <w:sz w:val="23"/>
          <w:szCs w:val="23"/>
        </w:rPr>
        <w:lastRenderedPageBreak/>
        <w:t>las mu</w:t>
      </w:r>
      <w:r w:rsidR="00FA70B5">
        <w:rPr>
          <w:rFonts w:asciiTheme="minorHAnsi" w:hAnsiTheme="minorHAnsi" w:cstheme="minorHAnsi"/>
          <w:sz w:val="23"/>
          <w:szCs w:val="23"/>
        </w:rPr>
        <w:t>j</w:t>
      </w:r>
      <w:r w:rsidR="00BE065D">
        <w:rPr>
          <w:rFonts w:asciiTheme="minorHAnsi" w:hAnsiTheme="minorHAnsi" w:cstheme="minorHAnsi"/>
          <w:sz w:val="23"/>
          <w:szCs w:val="23"/>
        </w:rPr>
        <w:t xml:space="preserve">eres y se reduzca </w:t>
      </w:r>
      <w:r w:rsidR="00FA70B5">
        <w:rPr>
          <w:rFonts w:asciiTheme="minorHAnsi" w:hAnsiTheme="minorHAnsi" w:cstheme="minorHAnsi"/>
          <w:sz w:val="23"/>
          <w:szCs w:val="23"/>
        </w:rPr>
        <w:t xml:space="preserve">su impacto así como </w:t>
      </w:r>
      <w:r w:rsidR="00BE065D">
        <w:rPr>
          <w:rFonts w:asciiTheme="minorHAnsi" w:hAnsiTheme="minorHAnsi" w:cstheme="minorHAnsi"/>
          <w:sz w:val="23"/>
          <w:szCs w:val="23"/>
        </w:rPr>
        <w:t>el mayor estigma que, a día de hoy, esta adic</w:t>
      </w:r>
      <w:r w:rsidR="00FA70B5">
        <w:rPr>
          <w:rFonts w:asciiTheme="minorHAnsi" w:hAnsiTheme="minorHAnsi" w:cstheme="minorHAnsi"/>
          <w:sz w:val="23"/>
          <w:szCs w:val="23"/>
        </w:rPr>
        <w:t>ción implica en las mujeres. No</w:t>
      </w:r>
      <w:r w:rsidR="00BE065D">
        <w:rPr>
          <w:rFonts w:asciiTheme="minorHAnsi" w:hAnsiTheme="minorHAnsi" w:cstheme="minorHAnsi"/>
          <w:sz w:val="23"/>
          <w:szCs w:val="23"/>
        </w:rPr>
        <w:t>s referimos</w:t>
      </w:r>
      <w:r w:rsidR="00FA70B5">
        <w:rPr>
          <w:rFonts w:asciiTheme="minorHAnsi" w:hAnsiTheme="minorHAnsi" w:cstheme="minorHAnsi"/>
          <w:sz w:val="23"/>
          <w:szCs w:val="23"/>
        </w:rPr>
        <w:t>,</w:t>
      </w:r>
      <w:r w:rsidR="00BE065D">
        <w:rPr>
          <w:rFonts w:asciiTheme="minorHAnsi" w:hAnsiTheme="minorHAnsi" w:cstheme="minorHAnsi"/>
          <w:sz w:val="23"/>
          <w:szCs w:val="23"/>
        </w:rPr>
        <w:t xml:space="preserve"> particularmente</w:t>
      </w:r>
      <w:r w:rsidR="00FA70B5">
        <w:rPr>
          <w:rFonts w:asciiTheme="minorHAnsi" w:hAnsiTheme="minorHAnsi" w:cstheme="minorHAnsi"/>
          <w:sz w:val="23"/>
          <w:szCs w:val="23"/>
        </w:rPr>
        <w:t>,</w:t>
      </w:r>
      <w:r w:rsidR="00BE065D">
        <w:rPr>
          <w:rFonts w:asciiTheme="minorHAnsi" w:hAnsiTheme="minorHAnsi" w:cstheme="minorHAnsi"/>
          <w:sz w:val="23"/>
          <w:szCs w:val="23"/>
        </w:rPr>
        <w:t xml:space="preserve"> a la palabra jugador la cual debería emplearse </w:t>
      </w:r>
      <w:r w:rsidR="00FA70B5">
        <w:rPr>
          <w:rFonts w:asciiTheme="minorHAnsi" w:hAnsiTheme="minorHAnsi" w:cstheme="minorHAnsi"/>
          <w:sz w:val="23"/>
          <w:szCs w:val="23"/>
        </w:rPr>
        <w:t>con referencia a</w:t>
      </w:r>
      <w:r w:rsidR="00BE065D">
        <w:rPr>
          <w:rFonts w:asciiTheme="minorHAnsi" w:hAnsiTheme="minorHAnsi" w:cstheme="minorHAnsi"/>
          <w:sz w:val="23"/>
          <w:szCs w:val="23"/>
        </w:rPr>
        <w:t xml:space="preserve"> ambos sexos, “jugador y jugadora”. Se trata de emplear una terminología que </w:t>
      </w:r>
      <w:r w:rsidR="00A05EBF" w:rsidRPr="00AE5A9F">
        <w:rPr>
          <w:rFonts w:asciiTheme="minorHAnsi" w:hAnsiTheme="minorHAnsi" w:cstheme="minorHAnsi"/>
          <w:sz w:val="23"/>
          <w:szCs w:val="23"/>
        </w:rPr>
        <w:t xml:space="preserve">visibilice </w:t>
      </w:r>
      <w:r w:rsidR="003B3196">
        <w:rPr>
          <w:rFonts w:asciiTheme="minorHAnsi" w:hAnsiTheme="minorHAnsi" w:cstheme="minorHAnsi"/>
          <w:sz w:val="23"/>
          <w:szCs w:val="23"/>
        </w:rPr>
        <w:t xml:space="preserve">la presencia de la mujer en los distintos ámbitos de la vida </w:t>
      </w:r>
      <w:r w:rsidR="00FB2E1C" w:rsidRPr="00AE5A9F">
        <w:rPr>
          <w:rFonts w:asciiTheme="minorHAnsi" w:hAnsiTheme="minorHAnsi" w:cstheme="minorHAnsi"/>
          <w:sz w:val="23"/>
          <w:szCs w:val="23"/>
        </w:rPr>
        <w:t xml:space="preserve">social y económica </w:t>
      </w:r>
      <w:r w:rsidR="003B3196">
        <w:rPr>
          <w:rFonts w:asciiTheme="minorHAnsi" w:hAnsiTheme="minorHAnsi" w:cstheme="minorHAnsi"/>
          <w:sz w:val="23"/>
          <w:szCs w:val="23"/>
        </w:rPr>
        <w:t xml:space="preserve">y permita remover los obstáculos que dificultan la consecución de la igualdad </w:t>
      </w:r>
      <w:r w:rsidR="00FA70B5">
        <w:rPr>
          <w:rFonts w:asciiTheme="minorHAnsi" w:hAnsiTheme="minorHAnsi" w:cstheme="minorHAnsi"/>
          <w:sz w:val="23"/>
          <w:szCs w:val="23"/>
        </w:rPr>
        <w:t>en la aplicación de las políticas públicas.</w:t>
      </w:r>
      <w:bookmarkStart w:id="0" w:name="_GoBack"/>
      <w:bookmarkEnd w:id="0"/>
    </w:p>
    <w:p w:rsidR="00E16EBE" w:rsidRPr="00AE5A9F" w:rsidRDefault="00E16EBE" w:rsidP="00AE5A9F">
      <w:pPr>
        <w:spacing w:line="276" w:lineRule="auto"/>
        <w:ind w:firstLine="708"/>
        <w:jc w:val="both"/>
        <w:rPr>
          <w:rFonts w:asciiTheme="minorHAnsi" w:hAnsiTheme="minorHAnsi" w:cstheme="minorHAnsi"/>
          <w:sz w:val="23"/>
          <w:szCs w:val="23"/>
        </w:rPr>
      </w:pPr>
    </w:p>
    <w:p w:rsidR="00FF0434" w:rsidRPr="00AE5A9F" w:rsidRDefault="00FF0434" w:rsidP="00AE5A9F">
      <w:pPr>
        <w:spacing w:line="276" w:lineRule="auto"/>
        <w:ind w:firstLine="708"/>
        <w:jc w:val="both"/>
        <w:rPr>
          <w:rFonts w:asciiTheme="minorHAnsi" w:hAnsiTheme="minorHAnsi" w:cstheme="minorHAnsi"/>
          <w:sz w:val="23"/>
          <w:szCs w:val="23"/>
        </w:rPr>
      </w:pPr>
      <w:r w:rsidRPr="00AE5A9F">
        <w:rPr>
          <w:rFonts w:asciiTheme="minorHAnsi" w:hAnsiTheme="minorHAnsi" w:cstheme="minorHAnsi"/>
          <w:color w:val="000000" w:themeColor="text1"/>
          <w:sz w:val="23"/>
          <w:szCs w:val="23"/>
        </w:rPr>
        <w:t xml:space="preserve">Por último, subrayamos la importancia, en el supuesto de que el texto del </w:t>
      </w:r>
      <w:r w:rsidR="003B3196">
        <w:rPr>
          <w:rFonts w:asciiTheme="minorHAnsi" w:hAnsiTheme="minorHAnsi" w:cstheme="minorHAnsi"/>
          <w:color w:val="000000" w:themeColor="text1"/>
          <w:sz w:val="23"/>
          <w:szCs w:val="23"/>
        </w:rPr>
        <w:t>ante</w:t>
      </w:r>
      <w:r w:rsidRPr="00AE5A9F">
        <w:rPr>
          <w:rFonts w:asciiTheme="minorHAnsi" w:hAnsiTheme="minorHAnsi" w:cstheme="minorHAnsi"/>
          <w:color w:val="000000" w:themeColor="text1"/>
          <w:sz w:val="23"/>
          <w:szCs w:val="23"/>
        </w:rPr>
        <w:t xml:space="preserve">proyecto de </w:t>
      </w:r>
      <w:r w:rsidR="003B3196">
        <w:rPr>
          <w:rFonts w:asciiTheme="minorHAnsi" w:hAnsiTheme="minorHAnsi" w:cstheme="minorHAnsi"/>
          <w:color w:val="000000" w:themeColor="text1"/>
          <w:sz w:val="23"/>
          <w:szCs w:val="23"/>
        </w:rPr>
        <w:t xml:space="preserve">ley de </w:t>
      </w:r>
      <w:r w:rsidRPr="00AE5A9F">
        <w:rPr>
          <w:rFonts w:asciiTheme="minorHAnsi" w:hAnsiTheme="minorHAnsi" w:cstheme="minorHAnsi"/>
          <w:color w:val="000000" w:themeColor="text1"/>
          <w:sz w:val="23"/>
          <w:szCs w:val="23"/>
        </w:rPr>
        <w:t xml:space="preserve">lugar a la creación de algún tipo de registro o de bases de datos que afecte a personas físicas directa o indirectamente, dichos </w:t>
      </w:r>
      <w:r w:rsidRPr="00AE5A9F">
        <w:rPr>
          <w:rFonts w:asciiTheme="minorHAnsi" w:hAnsiTheme="minorHAnsi" w:cstheme="minorHAnsi"/>
          <w:b/>
          <w:color w:val="000000" w:themeColor="text1"/>
          <w:sz w:val="23"/>
          <w:szCs w:val="23"/>
        </w:rPr>
        <w:t>datos deberán estar desagregados por sexo</w:t>
      </w:r>
      <w:r w:rsidRPr="00AE5A9F">
        <w:rPr>
          <w:rFonts w:asciiTheme="minorHAnsi" w:hAnsiTheme="minorHAnsi" w:cstheme="minorHAnsi"/>
          <w:color w:val="000000" w:themeColor="text1"/>
          <w:sz w:val="23"/>
          <w:szCs w:val="23"/>
        </w:rPr>
        <w:t xml:space="preserve">, de conformidad con el artículo 20 de </w:t>
      </w:r>
      <w:r w:rsidRPr="00AE5A9F">
        <w:rPr>
          <w:rFonts w:asciiTheme="minorHAnsi" w:hAnsiTheme="minorHAnsi" w:cstheme="minorHAnsi"/>
          <w:bCs/>
          <w:color w:val="000000" w:themeColor="text1"/>
          <w:sz w:val="23"/>
          <w:szCs w:val="23"/>
        </w:rPr>
        <w:t xml:space="preserve">Ley Orgánica 3/2007, de 22 de marzo, para la Igualdad efectiva de mujeres y hombres, que dispone que </w:t>
      </w:r>
      <w:r w:rsidRPr="00AE5A9F">
        <w:rPr>
          <w:rFonts w:asciiTheme="minorHAnsi" w:hAnsiTheme="minorHAnsi" w:cstheme="minorHAnsi"/>
          <w:sz w:val="23"/>
          <w:szCs w:val="23"/>
        </w:rPr>
        <w:t>“</w:t>
      </w:r>
      <w:r w:rsidRPr="00AE5A9F">
        <w:rPr>
          <w:rFonts w:asciiTheme="minorHAnsi" w:hAnsiTheme="minorHAnsi" w:cstheme="minorHAnsi"/>
          <w:i/>
          <w:sz w:val="23"/>
          <w:szCs w:val="23"/>
        </w:rPr>
        <w:t>los poderes públicos deberán incluir sistemáticamente la variable de sexo en las estadísticas, encuestas y recogida de datos que lleven a cabo” e “incluir nuevos indicadores que posibiliten un mejor conocimiento de las diferencias en los valores, roles, situaciones, condiciones, aspiraciones y necesidades de mujeres y hombres, su manifestación e interacción en la realidad que se vaya a analizar”.</w:t>
      </w:r>
    </w:p>
    <w:p w:rsidR="002028A7" w:rsidRPr="00AE5A9F" w:rsidRDefault="002028A7" w:rsidP="00AE5A9F">
      <w:pPr>
        <w:spacing w:line="276" w:lineRule="auto"/>
        <w:jc w:val="both"/>
        <w:rPr>
          <w:rFonts w:asciiTheme="minorHAnsi" w:hAnsiTheme="minorHAnsi" w:cstheme="minorHAnsi"/>
          <w:sz w:val="23"/>
          <w:szCs w:val="23"/>
        </w:rPr>
      </w:pPr>
    </w:p>
    <w:p w:rsidR="00A05EBF" w:rsidRPr="00AE5A9F" w:rsidRDefault="00A05EBF" w:rsidP="00AE5A9F">
      <w:pPr>
        <w:spacing w:line="276" w:lineRule="auto"/>
        <w:jc w:val="center"/>
        <w:rPr>
          <w:rFonts w:asciiTheme="minorHAnsi" w:hAnsiTheme="minorHAnsi" w:cstheme="minorHAnsi"/>
          <w:sz w:val="23"/>
          <w:szCs w:val="23"/>
        </w:rPr>
      </w:pPr>
    </w:p>
    <w:p w:rsidR="003B3196" w:rsidRDefault="003B3196" w:rsidP="00AE5A9F">
      <w:pPr>
        <w:spacing w:line="276" w:lineRule="auto"/>
        <w:jc w:val="center"/>
        <w:rPr>
          <w:rFonts w:asciiTheme="minorHAnsi" w:hAnsiTheme="minorHAnsi" w:cstheme="minorHAnsi"/>
          <w:sz w:val="23"/>
          <w:szCs w:val="23"/>
        </w:rPr>
      </w:pPr>
    </w:p>
    <w:p w:rsidR="0095383C" w:rsidRPr="00AE5A9F" w:rsidRDefault="0095383C" w:rsidP="00AE5A9F">
      <w:pPr>
        <w:spacing w:line="276" w:lineRule="auto"/>
        <w:jc w:val="center"/>
        <w:rPr>
          <w:rFonts w:asciiTheme="minorHAnsi" w:hAnsiTheme="minorHAnsi" w:cstheme="minorHAnsi"/>
          <w:sz w:val="23"/>
          <w:szCs w:val="23"/>
        </w:rPr>
      </w:pPr>
      <w:r w:rsidRPr="00AE5A9F">
        <w:rPr>
          <w:rFonts w:asciiTheme="minorHAnsi" w:hAnsiTheme="minorHAnsi" w:cstheme="minorHAnsi"/>
          <w:sz w:val="23"/>
          <w:szCs w:val="23"/>
        </w:rPr>
        <w:t>LA DIRECTORA GENERAL DE LA MUJER</w:t>
      </w:r>
    </w:p>
    <w:p w:rsidR="0095383C" w:rsidRPr="00AE5A9F" w:rsidRDefault="0095383C" w:rsidP="00AE5A9F">
      <w:pPr>
        <w:spacing w:line="276" w:lineRule="auto"/>
        <w:jc w:val="center"/>
        <w:rPr>
          <w:rFonts w:asciiTheme="minorHAnsi" w:hAnsiTheme="minorHAnsi" w:cstheme="minorHAnsi"/>
          <w:sz w:val="23"/>
          <w:szCs w:val="23"/>
        </w:rPr>
      </w:pPr>
    </w:p>
    <w:p w:rsidR="0095383C" w:rsidRPr="00AE5A9F" w:rsidRDefault="0095383C" w:rsidP="00AE5A9F">
      <w:pPr>
        <w:spacing w:line="276" w:lineRule="auto"/>
        <w:jc w:val="center"/>
        <w:rPr>
          <w:rFonts w:asciiTheme="minorHAnsi" w:hAnsiTheme="minorHAnsi" w:cstheme="minorHAnsi"/>
          <w:sz w:val="23"/>
          <w:szCs w:val="23"/>
        </w:rPr>
      </w:pPr>
    </w:p>
    <w:p w:rsidR="0095383C" w:rsidRPr="00AE5A9F" w:rsidRDefault="0095383C" w:rsidP="00AE5A9F">
      <w:pPr>
        <w:spacing w:line="276" w:lineRule="auto"/>
        <w:jc w:val="center"/>
        <w:rPr>
          <w:rFonts w:asciiTheme="minorHAnsi" w:hAnsiTheme="minorHAnsi" w:cstheme="minorHAnsi"/>
          <w:sz w:val="23"/>
          <w:szCs w:val="23"/>
        </w:rPr>
      </w:pPr>
    </w:p>
    <w:sectPr w:rsidR="0095383C" w:rsidRPr="00AE5A9F" w:rsidSect="003B3196">
      <w:headerReference w:type="even" r:id="rId8"/>
      <w:headerReference w:type="default" r:id="rId9"/>
      <w:footerReference w:type="even" r:id="rId10"/>
      <w:footerReference w:type="default" r:id="rId11"/>
      <w:pgSz w:w="11906" w:h="16838" w:code="9"/>
      <w:pgMar w:top="2694" w:right="1418" w:bottom="1276" w:left="1418" w:header="680"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56" w:rsidRDefault="00931656" w:rsidP="001A2384">
      <w:r>
        <w:separator/>
      </w:r>
    </w:p>
  </w:endnote>
  <w:endnote w:type="continuationSeparator" w:id="0">
    <w:p w:rsidR="00931656" w:rsidRDefault="00931656" w:rsidP="001A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922789"/>
      <w:docPartObj>
        <w:docPartGallery w:val="Page Numbers (Bottom of Page)"/>
        <w:docPartUnique/>
      </w:docPartObj>
    </w:sdtPr>
    <w:sdtEndPr>
      <w:rPr>
        <w:rFonts w:asciiTheme="minorHAnsi" w:hAnsiTheme="minorHAnsi" w:cstheme="minorHAnsi"/>
        <w:sz w:val="22"/>
        <w:szCs w:val="22"/>
      </w:rPr>
    </w:sdtEndPr>
    <w:sdtContent>
      <w:p w:rsidR="003B3196" w:rsidRPr="003B3196" w:rsidRDefault="003B3196">
        <w:pPr>
          <w:pStyle w:val="Piedepgina"/>
          <w:jc w:val="right"/>
          <w:rPr>
            <w:rFonts w:asciiTheme="minorHAnsi" w:hAnsiTheme="minorHAnsi" w:cstheme="minorHAnsi"/>
            <w:sz w:val="22"/>
            <w:szCs w:val="22"/>
          </w:rPr>
        </w:pPr>
        <w:r w:rsidRPr="003B3196">
          <w:rPr>
            <w:rFonts w:asciiTheme="minorHAnsi" w:hAnsiTheme="minorHAnsi" w:cstheme="minorHAnsi"/>
            <w:sz w:val="22"/>
            <w:szCs w:val="22"/>
          </w:rPr>
          <w:fldChar w:fldCharType="begin"/>
        </w:r>
        <w:r w:rsidRPr="003B3196">
          <w:rPr>
            <w:rFonts w:asciiTheme="minorHAnsi" w:hAnsiTheme="minorHAnsi" w:cstheme="minorHAnsi"/>
            <w:sz w:val="22"/>
            <w:szCs w:val="22"/>
          </w:rPr>
          <w:instrText>PAGE   \* MERGEFORMAT</w:instrText>
        </w:r>
        <w:r w:rsidRPr="003B3196">
          <w:rPr>
            <w:rFonts w:asciiTheme="minorHAnsi" w:hAnsiTheme="minorHAnsi" w:cstheme="minorHAnsi"/>
            <w:sz w:val="22"/>
            <w:szCs w:val="22"/>
          </w:rPr>
          <w:fldChar w:fldCharType="separate"/>
        </w:r>
        <w:r w:rsidR="00FA70B5">
          <w:rPr>
            <w:rFonts w:asciiTheme="minorHAnsi" w:hAnsiTheme="minorHAnsi" w:cstheme="minorHAnsi"/>
            <w:noProof/>
            <w:sz w:val="22"/>
            <w:szCs w:val="22"/>
          </w:rPr>
          <w:t>2</w:t>
        </w:r>
        <w:r w:rsidRPr="003B3196">
          <w:rPr>
            <w:rFonts w:asciiTheme="minorHAnsi" w:hAnsiTheme="minorHAnsi" w:cstheme="minorHAnsi"/>
            <w:sz w:val="22"/>
            <w:szCs w:val="22"/>
          </w:rPr>
          <w:fldChar w:fldCharType="end"/>
        </w:r>
      </w:p>
    </w:sdtContent>
  </w:sdt>
  <w:p w:rsidR="003B3196" w:rsidRDefault="003B31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282282"/>
      <w:docPartObj>
        <w:docPartGallery w:val="Page Numbers (Bottom of Page)"/>
        <w:docPartUnique/>
      </w:docPartObj>
    </w:sdtPr>
    <w:sdtEndPr>
      <w:rPr>
        <w:rFonts w:asciiTheme="minorHAnsi" w:hAnsiTheme="minorHAnsi" w:cstheme="minorHAnsi"/>
        <w:sz w:val="22"/>
        <w:szCs w:val="22"/>
      </w:rPr>
    </w:sdtEndPr>
    <w:sdtContent>
      <w:p w:rsidR="003B3196" w:rsidRPr="003B3196" w:rsidRDefault="003B3196">
        <w:pPr>
          <w:pStyle w:val="Piedepgina"/>
          <w:jc w:val="right"/>
          <w:rPr>
            <w:rFonts w:asciiTheme="minorHAnsi" w:hAnsiTheme="minorHAnsi" w:cstheme="minorHAnsi"/>
            <w:sz w:val="22"/>
            <w:szCs w:val="22"/>
          </w:rPr>
        </w:pPr>
        <w:r w:rsidRPr="003B3196">
          <w:rPr>
            <w:rFonts w:asciiTheme="minorHAnsi" w:hAnsiTheme="minorHAnsi" w:cstheme="minorHAnsi"/>
            <w:sz w:val="22"/>
            <w:szCs w:val="22"/>
          </w:rPr>
          <w:fldChar w:fldCharType="begin"/>
        </w:r>
        <w:r w:rsidRPr="003B3196">
          <w:rPr>
            <w:rFonts w:asciiTheme="minorHAnsi" w:hAnsiTheme="minorHAnsi" w:cstheme="minorHAnsi"/>
            <w:sz w:val="22"/>
            <w:szCs w:val="22"/>
          </w:rPr>
          <w:instrText>PAGE   \* MERGEFORMAT</w:instrText>
        </w:r>
        <w:r w:rsidRPr="003B3196">
          <w:rPr>
            <w:rFonts w:asciiTheme="minorHAnsi" w:hAnsiTheme="minorHAnsi" w:cstheme="minorHAnsi"/>
            <w:sz w:val="22"/>
            <w:szCs w:val="22"/>
          </w:rPr>
          <w:fldChar w:fldCharType="separate"/>
        </w:r>
        <w:r w:rsidR="00FA70B5">
          <w:rPr>
            <w:rFonts w:asciiTheme="minorHAnsi" w:hAnsiTheme="minorHAnsi" w:cstheme="minorHAnsi"/>
            <w:noProof/>
            <w:sz w:val="22"/>
            <w:szCs w:val="22"/>
          </w:rPr>
          <w:t>1</w:t>
        </w:r>
        <w:r w:rsidRPr="003B3196">
          <w:rPr>
            <w:rFonts w:asciiTheme="minorHAnsi" w:hAnsiTheme="minorHAnsi" w:cstheme="minorHAnsi"/>
            <w:sz w:val="22"/>
            <w:szCs w:val="22"/>
          </w:rPr>
          <w:fldChar w:fldCharType="end"/>
        </w:r>
      </w:p>
    </w:sdtContent>
  </w:sdt>
  <w:p w:rsidR="00174FB2" w:rsidRPr="00174FB2" w:rsidRDefault="00174FB2" w:rsidP="003B3196">
    <w:pPr>
      <w:pStyle w:val="Piedepgina"/>
      <w:tabs>
        <w:tab w:val="clear" w:pos="4252"/>
        <w:tab w:val="clear" w:pos="8504"/>
        <w:tab w:val="left" w:pos="6780"/>
      </w:tabs>
      <w:ind w:right="-285"/>
      <w:rPr>
        <w:rFonts w:asciiTheme="minorHAnsi" w:hAnsiTheme="minorHAnsi" w:cs="Times New Roman"/>
        <w:color w:val="7F7F7F" w:themeColor="text1" w:themeTint="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56" w:rsidRDefault="00931656" w:rsidP="001A2384">
      <w:r>
        <w:separator/>
      </w:r>
    </w:p>
  </w:footnote>
  <w:footnote w:type="continuationSeparator" w:id="0">
    <w:p w:rsidR="00931656" w:rsidRDefault="00931656" w:rsidP="001A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96" w:rsidRDefault="003B3196">
    <w:pPr>
      <w:pStyle w:val="Encabezado"/>
      <w:jc w:val="right"/>
    </w:pPr>
  </w:p>
  <w:p w:rsidR="003B3196" w:rsidRDefault="003B31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435"/>
    </w:tblGrid>
    <w:tr w:rsidR="007B3B97" w:rsidTr="00401D98">
      <w:trPr>
        <w:jc w:val="center"/>
      </w:trPr>
      <w:tc>
        <w:tcPr>
          <w:tcW w:w="4435" w:type="dxa"/>
          <w:vAlign w:val="center"/>
        </w:tcPr>
        <w:p w:rsidR="007B3B97" w:rsidRDefault="007B3B97" w:rsidP="007B3B97">
          <w:pPr>
            <w:ind w:right="-113"/>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077DAA" wp14:editId="076CA273">
                <wp:extent cx="1629177" cy="1028475"/>
                <wp:effectExtent l="0" t="0" r="0" b="635"/>
                <wp:docPr id="2" name="Imagen 2" descr="Escud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769" cy="1027586"/>
                        </a:xfrm>
                        <a:prstGeom prst="rect">
                          <a:avLst/>
                        </a:prstGeom>
                        <a:noFill/>
                        <a:ln>
                          <a:noFill/>
                        </a:ln>
                      </pic:spPr>
                    </pic:pic>
                  </a:graphicData>
                </a:graphic>
              </wp:inline>
            </w:drawing>
          </w:r>
        </w:p>
      </w:tc>
      <w:tc>
        <w:tcPr>
          <w:tcW w:w="4435" w:type="dxa"/>
          <w:vAlign w:val="bottom"/>
        </w:tcPr>
        <w:p w:rsidR="007B3B97" w:rsidRDefault="007B3B97" w:rsidP="00401D98">
          <w:pPr>
            <w:ind w:right="-113"/>
            <w:jc w:val="right"/>
            <w:rPr>
              <w:rFonts w:ascii="Times New Roman" w:hAnsi="Times New Roman" w:cs="Times New Roman"/>
              <w:sz w:val="24"/>
              <w:szCs w:val="24"/>
            </w:rPr>
          </w:pPr>
          <w:r>
            <w:rPr>
              <w:rFonts w:ascii="Trebuchet MS" w:hAnsi="Trebuchet MS" w:cs="Times New Roman"/>
              <w:noProof/>
              <w:sz w:val="24"/>
              <w:szCs w:val="24"/>
            </w:rPr>
            <w:drawing>
              <wp:inline distT="0" distB="0" distL="0" distR="0" wp14:anchorId="6DA0D863" wp14:editId="4E9A3A29">
                <wp:extent cx="2148874" cy="779172"/>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36" cy="778252"/>
                        </a:xfrm>
                        <a:prstGeom prst="rect">
                          <a:avLst/>
                        </a:prstGeom>
                        <a:noFill/>
                        <a:ln>
                          <a:noFill/>
                        </a:ln>
                      </pic:spPr>
                    </pic:pic>
                  </a:graphicData>
                </a:graphic>
              </wp:inline>
            </w:drawing>
          </w:r>
        </w:p>
      </w:tc>
    </w:tr>
  </w:tbl>
  <w:p w:rsidR="007B3B97" w:rsidRPr="00400DB2" w:rsidRDefault="007B3B97" w:rsidP="007B3B97">
    <w:pPr>
      <w:ind w:right="-113"/>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43FCE"/>
    <w:multiLevelType w:val="hybridMultilevel"/>
    <w:tmpl w:val="13367444"/>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2458713C"/>
    <w:multiLevelType w:val="multilevel"/>
    <w:tmpl w:val="D9C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53672"/>
    <w:multiLevelType w:val="multilevel"/>
    <w:tmpl w:val="F54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B41E2"/>
    <w:multiLevelType w:val="hybridMultilevel"/>
    <w:tmpl w:val="797E71EE"/>
    <w:lvl w:ilvl="0" w:tplc="0C0A0003">
      <w:start w:val="1"/>
      <w:numFmt w:val="bullet"/>
      <w:lvlText w:val="o"/>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27081932"/>
    <w:multiLevelType w:val="hybridMultilevel"/>
    <w:tmpl w:val="CEA401E0"/>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3D6415"/>
    <w:multiLevelType w:val="hybridMultilevel"/>
    <w:tmpl w:val="18FCD8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EC02B0"/>
    <w:multiLevelType w:val="hybridMultilevel"/>
    <w:tmpl w:val="9FEEF7C0"/>
    <w:lvl w:ilvl="0" w:tplc="A434DE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BB4283"/>
    <w:multiLevelType w:val="hybridMultilevel"/>
    <w:tmpl w:val="3E34CE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7A423B"/>
    <w:multiLevelType w:val="hybridMultilevel"/>
    <w:tmpl w:val="2A1A7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322FDC"/>
    <w:multiLevelType w:val="hybridMultilevel"/>
    <w:tmpl w:val="B3CE940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5C027606"/>
    <w:multiLevelType w:val="hybridMultilevel"/>
    <w:tmpl w:val="2E24A1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E37F3B"/>
    <w:multiLevelType w:val="hybridMultilevel"/>
    <w:tmpl w:val="1C6A851E"/>
    <w:lvl w:ilvl="0" w:tplc="443651E2">
      <w:numFmt w:val="bullet"/>
      <w:lvlText w:val="-"/>
      <w:lvlJc w:val="left"/>
      <w:pPr>
        <w:ind w:left="644" w:hanging="360"/>
      </w:pPr>
      <w:rPr>
        <w:rFonts w:ascii="Calibri" w:eastAsiaTheme="minorHAnsi" w:hAnsi="Calibri" w:cstheme="minorBidi" w:hint="default"/>
        <w:color w:val="auto"/>
      </w:rPr>
    </w:lvl>
    <w:lvl w:ilvl="1" w:tplc="E69C837C">
      <w:start w:val="1"/>
      <w:numFmt w:val="bullet"/>
      <w:lvlText w:val="o"/>
      <w:lvlJc w:val="left"/>
      <w:pPr>
        <w:ind w:left="1440" w:hanging="360"/>
      </w:pPr>
      <w:rPr>
        <w:rFonts w:ascii="Courier New" w:hAnsi="Courier New" w:cs="Courier New"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BC30B4"/>
    <w:multiLevelType w:val="multilevel"/>
    <w:tmpl w:val="45A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0"/>
  </w:num>
  <w:num w:numId="5">
    <w:abstractNumId w:val="5"/>
  </w:num>
  <w:num w:numId="6">
    <w:abstractNumId w:val="6"/>
  </w:num>
  <w:num w:numId="7">
    <w:abstractNumId w:val="7"/>
  </w:num>
  <w:num w:numId="8">
    <w:abstractNumId w:val="8"/>
  </w:num>
  <w:num w:numId="9">
    <w:abstractNumId w:val="9"/>
  </w:num>
  <w:num w:numId="10">
    <w:abstractNumId w:val="1"/>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67"/>
    <w:rsid w:val="0000455A"/>
    <w:rsid w:val="000106F9"/>
    <w:rsid w:val="00043B03"/>
    <w:rsid w:val="00043BBB"/>
    <w:rsid w:val="00045F36"/>
    <w:rsid w:val="00052FAC"/>
    <w:rsid w:val="00057F4F"/>
    <w:rsid w:val="00064C9B"/>
    <w:rsid w:val="00072A5F"/>
    <w:rsid w:val="00084BDB"/>
    <w:rsid w:val="000861B4"/>
    <w:rsid w:val="00090008"/>
    <w:rsid w:val="00093514"/>
    <w:rsid w:val="00093F1E"/>
    <w:rsid w:val="000A2602"/>
    <w:rsid w:val="000A2705"/>
    <w:rsid w:val="000A53ED"/>
    <w:rsid w:val="000A586B"/>
    <w:rsid w:val="000B3178"/>
    <w:rsid w:val="000B34A9"/>
    <w:rsid w:val="000C454F"/>
    <w:rsid w:val="000C78F6"/>
    <w:rsid w:val="000D0456"/>
    <w:rsid w:val="00130A2D"/>
    <w:rsid w:val="00143DB3"/>
    <w:rsid w:val="00152CF7"/>
    <w:rsid w:val="001742E2"/>
    <w:rsid w:val="00174884"/>
    <w:rsid w:val="00174FB2"/>
    <w:rsid w:val="00182646"/>
    <w:rsid w:val="001845A4"/>
    <w:rsid w:val="00185395"/>
    <w:rsid w:val="00190CE7"/>
    <w:rsid w:val="001A2384"/>
    <w:rsid w:val="001A3842"/>
    <w:rsid w:val="001B224B"/>
    <w:rsid w:val="001C6F0B"/>
    <w:rsid w:val="001C72A7"/>
    <w:rsid w:val="001D21CA"/>
    <w:rsid w:val="001E7615"/>
    <w:rsid w:val="001F4221"/>
    <w:rsid w:val="00202145"/>
    <w:rsid w:val="002028A7"/>
    <w:rsid w:val="002235FF"/>
    <w:rsid w:val="002332C4"/>
    <w:rsid w:val="002374AC"/>
    <w:rsid w:val="0025294E"/>
    <w:rsid w:val="00255FE2"/>
    <w:rsid w:val="0025650F"/>
    <w:rsid w:val="00257146"/>
    <w:rsid w:val="002572FB"/>
    <w:rsid w:val="0026286F"/>
    <w:rsid w:val="00264037"/>
    <w:rsid w:val="002642F0"/>
    <w:rsid w:val="00272A6D"/>
    <w:rsid w:val="00274751"/>
    <w:rsid w:val="002755B3"/>
    <w:rsid w:val="002803D2"/>
    <w:rsid w:val="00285022"/>
    <w:rsid w:val="00291EED"/>
    <w:rsid w:val="00292FAF"/>
    <w:rsid w:val="002A787D"/>
    <w:rsid w:val="002B1F42"/>
    <w:rsid w:val="002B759E"/>
    <w:rsid w:val="002C6C22"/>
    <w:rsid w:val="002C76A0"/>
    <w:rsid w:val="002D6C68"/>
    <w:rsid w:val="002E20E4"/>
    <w:rsid w:val="002E2B85"/>
    <w:rsid w:val="002F10F6"/>
    <w:rsid w:val="002F2335"/>
    <w:rsid w:val="003068B4"/>
    <w:rsid w:val="00315788"/>
    <w:rsid w:val="003314B8"/>
    <w:rsid w:val="0034268A"/>
    <w:rsid w:val="00345187"/>
    <w:rsid w:val="00347D62"/>
    <w:rsid w:val="00350ED0"/>
    <w:rsid w:val="00351AD1"/>
    <w:rsid w:val="0036124F"/>
    <w:rsid w:val="003733DE"/>
    <w:rsid w:val="003771CD"/>
    <w:rsid w:val="0038359E"/>
    <w:rsid w:val="003B03C1"/>
    <w:rsid w:val="003B3196"/>
    <w:rsid w:val="003B4E34"/>
    <w:rsid w:val="003B60A6"/>
    <w:rsid w:val="003B689D"/>
    <w:rsid w:val="003C275A"/>
    <w:rsid w:val="003C5E57"/>
    <w:rsid w:val="003D1D50"/>
    <w:rsid w:val="003D3995"/>
    <w:rsid w:val="00400DB2"/>
    <w:rsid w:val="00401D98"/>
    <w:rsid w:val="004043A9"/>
    <w:rsid w:val="0040605A"/>
    <w:rsid w:val="00410D9D"/>
    <w:rsid w:val="00420C43"/>
    <w:rsid w:val="00431326"/>
    <w:rsid w:val="0043265A"/>
    <w:rsid w:val="00446A12"/>
    <w:rsid w:val="00452973"/>
    <w:rsid w:val="00455F95"/>
    <w:rsid w:val="00470967"/>
    <w:rsid w:val="0047569B"/>
    <w:rsid w:val="00476644"/>
    <w:rsid w:val="00486B1A"/>
    <w:rsid w:val="0049117B"/>
    <w:rsid w:val="004A1E2E"/>
    <w:rsid w:val="004A2306"/>
    <w:rsid w:val="004C2804"/>
    <w:rsid w:val="004C4895"/>
    <w:rsid w:val="004D1658"/>
    <w:rsid w:val="004E0AD9"/>
    <w:rsid w:val="004E0C60"/>
    <w:rsid w:val="004E79BA"/>
    <w:rsid w:val="004E7D68"/>
    <w:rsid w:val="004F3AE5"/>
    <w:rsid w:val="004F47AF"/>
    <w:rsid w:val="00502241"/>
    <w:rsid w:val="00502B32"/>
    <w:rsid w:val="00520493"/>
    <w:rsid w:val="005229FC"/>
    <w:rsid w:val="00532A5F"/>
    <w:rsid w:val="00541040"/>
    <w:rsid w:val="005410B7"/>
    <w:rsid w:val="0054277B"/>
    <w:rsid w:val="005534C4"/>
    <w:rsid w:val="00553D3A"/>
    <w:rsid w:val="005625F1"/>
    <w:rsid w:val="00571412"/>
    <w:rsid w:val="00591A9E"/>
    <w:rsid w:val="005968AC"/>
    <w:rsid w:val="00596BC6"/>
    <w:rsid w:val="005A2D84"/>
    <w:rsid w:val="005A61D1"/>
    <w:rsid w:val="005B459A"/>
    <w:rsid w:val="005B650B"/>
    <w:rsid w:val="005C7156"/>
    <w:rsid w:val="005D1AF1"/>
    <w:rsid w:val="005D4430"/>
    <w:rsid w:val="005E7E72"/>
    <w:rsid w:val="005F2BC2"/>
    <w:rsid w:val="005F5394"/>
    <w:rsid w:val="005F630D"/>
    <w:rsid w:val="006136BC"/>
    <w:rsid w:val="0061506F"/>
    <w:rsid w:val="00623AF6"/>
    <w:rsid w:val="006667B4"/>
    <w:rsid w:val="00673FC2"/>
    <w:rsid w:val="006851A5"/>
    <w:rsid w:val="00687817"/>
    <w:rsid w:val="006A0F87"/>
    <w:rsid w:val="006A50ED"/>
    <w:rsid w:val="006B401A"/>
    <w:rsid w:val="006B4569"/>
    <w:rsid w:val="006B4DDD"/>
    <w:rsid w:val="006C4C2D"/>
    <w:rsid w:val="006F03DF"/>
    <w:rsid w:val="00701C61"/>
    <w:rsid w:val="0070696A"/>
    <w:rsid w:val="00725AB5"/>
    <w:rsid w:val="00725F1F"/>
    <w:rsid w:val="00733643"/>
    <w:rsid w:val="00733919"/>
    <w:rsid w:val="00736F9F"/>
    <w:rsid w:val="00737B11"/>
    <w:rsid w:val="00740261"/>
    <w:rsid w:val="00743E28"/>
    <w:rsid w:val="007654AC"/>
    <w:rsid w:val="007665A6"/>
    <w:rsid w:val="0077323F"/>
    <w:rsid w:val="00775A82"/>
    <w:rsid w:val="007941B8"/>
    <w:rsid w:val="00796350"/>
    <w:rsid w:val="007A766D"/>
    <w:rsid w:val="007B3B97"/>
    <w:rsid w:val="007C04EE"/>
    <w:rsid w:val="007C7BD4"/>
    <w:rsid w:val="007D1C12"/>
    <w:rsid w:val="007D258F"/>
    <w:rsid w:val="007E160B"/>
    <w:rsid w:val="007E3A25"/>
    <w:rsid w:val="007E4A99"/>
    <w:rsid w:val="007F340A"/>
    <w:rsid w:val="007F5378"/>
    <w:rsid w:val="007F72E4"/>
    <w:rsid w:val="00822A2E"/>
    <w:rsid w:val="0082527D"/>
    <w:rsid w:val="00831126"/>
    <w:rsid w:val="00833144"/>
    <w:rsid w:val="008363A9"/>
    <w:rsid w:val="00845AE9"/>
    <w:rsid w:val="00852911"/>
    <w:rsid w:val="00852B7F"/>
    <w:rsid w:val="00853C14"/>
    <w:rsid w:val="00855004"/>
    <w:rsid w:val="00881BED"/>
    <w:rsid w:val="00894535"/>
    <w:rsid w:val="008A16C0"/>
    <w:rsid w:val="008A2249"/>
    <w:rsid w:val="008A2CB7"/>
    <w:rsid w:val="008A64FD"/>
    <w:rsid w:val="008C500E"/>
    <w:rsid w:val="008C55E5"/>
    <w:rsid w:val="00902E8B"/>
    <w:rsid w:val="00905A27"/>
    <w:rsid w:val="00912980"/>
    <w:rsid w:val="00916451"/>
    <w:rsid w:val="00926526"/>
    <w:rsid w:val="00931656"/>
    <w:rsid w:val="009402F6"/>
    <w:rsid w:val="009424D2"/>
    <w:rsid w:val="00945D55"/>
    <w:rsid w:val="00952047"/>
    <w:rsid w:val="0095383C"/>
    <w:rsid w:val="00965D92"/>
    <w:rsid w:val="00975DBD"/>
    <w:rsid w:val="00985E47"/>
    <w:rsid w:val="00996A6D"/>
    <w:rsid w:val="00996CD8"/>
    <w:rsid w:val="009A281B"/>
    <w:rsid w:val="009A290B"/>
    <w:rsid w:val="009A31F3"/>
    <w:rsid w:val="009B5D31"/>
    <w:rsid w:val="009C2291"/>
    <w:rsid w:val="009C6C3A"/>
    <w:rsid w:val="009E1D49"/>
    <w:rsid w:val="009F6AFB"/>
    <w:rsid w:val="00A01E7B"/>
    <w:rsid w:val="00A02F6F"/>
    <w:rsid w:val="00A04790"/>
    <w:rsid w:val="00A05EBF"/>
    <w:rsid w:val="00A1128B"/>
    <w:rsid w:val="00A16139"/>
    <w:rsid w:val="00A43DE2"/>
    <w:rsid w:val="00A51A11"/>
    <w:rsid w:val="00A63AC6"/>
    <w:rsid w:val="00A67441"/>
    <w:rsid w:val="00A67E78"/>
    <w:rsid w:val="00A75E7E"/>
    <w:rsid w:val="00A77CC0"/>
    <w:rsid w:val="00A93139"/>
    <w:rsid w:val="00A955FE"/>
    <w:rsid w:val="00A974F2"/>
    <w:rsid w:val="00AB4071"/>
    <w:rsid w:val="00AB428E"/>
    <w:rsid w:val="00AB456B"/>
    <w:rsid w:val="00AC01CD"/>
    <w:rsid w:val="00AC1BE9"/>
    <w:rsid w:val="00AC5F2D"/>
    <w:rsid w:val="00AD2AAA"/>
    <w:rsid w:val="00AD6B09"/>
    <w:rsid w:val="00AE07D9"/>
    <w:rsid w:val="00AE5A9F"/>
    <w:rsid w:val="00AF1189"/>
    <w:rsid w:val="00AF5C0B"/>
    <w:rsid w:val="00B03524"/>
    <w:rsid w:val="00B13A6B"/>
    <w:rsid w:val="00B34E83"/>
    <w:rsid w:val="00B425CF"/>
    <w:rsid w:val="00B4349E"/>
    <w:rsid w:val="00B45837"/>
    <w:rsid w:val="00B53AB1"/>
    <w:rsid w:val="00B57FAF"/>
    <w:rsid w:val="00B71147"/>
    <w:rsid w:val="00B71CD2"/>
    <w:rsid w:val="00B7776B"/>
    <w:rsid w:val="00B854F9"/>
    <w:rsid w:val="00B902AA"/>
    <w:rsid w:val="00BA0CE6"/>
    <w:rsid w:val="00BB1D66"/>
    <w:rsid w:val="00BD03E3"/>
    <w:rsid w:val="00BD52D2"/>
    <w:rsid w:val="00BD772D"/>
    <w:rsid w:val="00BE065D"/>
    <w:rsid w:val="00C012D5"/>
    <w:rsid w:val="00C01912"/>
    <w:rsid w:val="00C1119B"/>
    <w:rsid w:val="00C1279A"/>
    <w:rsid w:val="00C371B0"/>
    <w:rsid w:val="00C413EF"/>
    <w:rsid w:val="00C453E0"/>
    <w:rsid w:val="00C62A81"/>
    <w:rsid w:val="00C709E7"/>
    <w:rsid w:val="00C72A33"/>
    <w:rsid w:val="00C74675"/>
    <w:rsid w:val="00C81861"/>
    <w:rsid w:val="00C83262"/>
    <w:rsid w:val="00CA6B9B"/>
    <w:rsid w:val="00CA7539"/>
    <w:rsid w:val="00CC1482"/>
    <w:rsid w:val="00CD392B"/>
    <w:rsid w:val="00CF30FA"/>
    <w:rsid w:val="00CF4B8D"/>
    <w:rsid w:val="00CF738B"/>
    <w:rsid w:val="00D20156"/>
    <w:rsid w:val="00D22A0D"/>
    <w:rsid w:val="00D23AE4"/>
    <w:rsid w:val="00D34A63"/>
    <w:rsid w:val="00D46767"/>
    <w:rsid w:val="00D55526"/>
    <w:rsid w:val="00D81DB0"/>
    <w:rsid w:val="00D91643"/>
    <w:rsid w:val="00DA1F68"/>
    <w:rsid w:val="00DA78EC"/>
    <w:rsid w:val="00DB2A24"/>
    <w:rsid w:val="00DF0A77"/>
    <w:rsid w:val="00DF4D7D"/>
    <w:rsid w:val="00E077CD"/>
    <w:rsid w:val="00E143EC"/>
    <w:rsid w:val="00E1662D"/>
    <w:rsid w:val="00E16EBE"/>
    <w:rsid w:val="00E20FDB"/>
    <w:rsid w:val="00E37C99"/>
    <w:rsid w:val="00E45B4F"/>
    <w:rsid w:val="00E74495"/>
    <w:rsid w:val="00E91868"/>
    <w:rsid w:val="00E9207D"/>
    <w:rsid w:val="00EA47CD"/>
    <w:rsid w:val="00EB6F86"/>
    <w:rsid w:val="00EE03CD"/>
    <w:rsid w:val="00EE231A"/>
    <w:rsid w:val="00EE3725"/>
    <w:rsid w:val="00EE3FBA"/>
    <w:rsid w:val="00EF006F"/>
    <w:rsid w:val="00EF2696"/>
    <w:rsid w:val="00F00FEE"/>
    <w:rsid w:val="00F1669F"/>
    <w:rsid w:val="00F25772"/>
    <w:rsid w:val="00F351CA"/>
    <w:rsid w:val="00F444A3"/>
    <w:rsid w:val="00F47F9F"/>
    <w:rsid w:val="00F5123E"/>
    <w:rsid w:val="00F5208B"/>
    <w:rsid w:val="00F550DF"/>
    <w:rsid w:val="00F57278"/>
    <w:rsid w:val="00F91B2B"/>
    <w:rsid w:val="00FA70B5"/>
    <w:rsid w:val="00FB271D"/>
    <w:rsid w:val="00FB2E1C"/>
    <w:rsid w:val="00FC0D3A"/>
    <w:rsid w:val="00FC538C"/>
    <w:rsid w:val="00FD718E"/>
    <w:rsid w:val="00FD7D1A"/>
    <w:rsid w:val="00FE23CF"/>
    <w:rsid w:val="00FF0434"/>
    <w:rsid w:val="00FF3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FD356C3A-C65A-4702-8442-0E21857F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0B"/>
    <w:pPr>
      <w:spacing w:after="0" w:line="240" w:lineRule="auto"/>
    </w:pPr>
    <w:rPr>
      <w:rFonts w:ascii="Arial" w:eastAsia="Times New Roman" w:hAnsi="Arial" w:cs="Arial"/>
      <w:sz w:val="26"/>
      <w:szCs w:val="26"/>
      <w:lang w:eastAsia="es-ES"/>
    </w:rPr>
  </w:style>
  <w:style w:type="paragraph" w:styleId="Ttulo1">
    <w:name w:val="heading 1"/>
    <w:basedOn w:val="Normal"/>
    <w:next w:val="Normal"/>
    <w:link w:val="Ttulo1Car"/>
    <w:uiPriority w:val="9"/>
    <w:qFormat/>
    <w:rsid w:val="00C127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35FF"/>
    <w:pPr>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F5123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384"/>
    <w:pPr>
      <w:tabs>
        <w:tab w:val="center" w:pos="4252"/>
        <w:tab w:val="right" w:pos="8504"/>
      </w:tabs>
    </w:pPr>
  </w:style>
  <w:style w:type="character" w:customStyle="1" w:styleId="EncabezadoCar">
    <w:name w:val="Encabezado Car"/>
    <w:basedOn w:val="Fuentedeprrafopredeter"/>
    <w:link w:val="Encabezado"/>
    <w:uiPriority w:val="99"/>
    <w:rsid w:val="001A2384"/>
  </w:style>
  <w:style w:type="paragraph" w:styleId="Piedepgina">
    <w:name w:val="footer"/>
    <w:basedOn w:val="Normal"/>
    <w:link w:val="PiedepginaCar"/>
    <w:uiPriority w:val="99"/>
    <w:unhideWhenUsed/>
    <w:rsid w:val="001A2384"/>
    <w:pPr>
      <w:tabs>
        <w:tab w:val="center" w:pos="4252"/>
        <w:tab w:val="right" w:pos="8504"/>
      </w:tabs>
    </w:pPr>
  </w:style>
  <w:style w:type="character" w:customStyle="1" w:styleId="PiedepginaCar">
    <w:name w:val="Pie de página Car"/>
    <w:basedOn w:val="Fuentedeprrafopredeter"/>
    <w:link w:val="Piedepgina"/>
    <w:uiPriority w:val="99"/>
    <w:rsid w:val="001A2384"/>
  </w:style>
  <w:style w:type="paragraph" w:styleId="Textodeglobo">
    <w:name w:val="Balloon Text"/>
    <w:basedOn w:val="Normal"/>
    <w:link w:val="TextodegloboCar"/>
    <w:uiPriority w:val="99"/>
    <w:semiHidden/>
    <w:unhideWhenUsed/>
    <w:rsid w:val="001A2384"/>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384"/>
    <w:rPr>
      <w:rFonts w:ascii="Tahoma" w:hAnsi="Tahoma" w:cs="Tahoma"/>
      <w:sz w:val="16"/>
      <w:szCs w:val="16"/>
    </w:rPr>
  </w:style>
  <w:style w:type="table" w:styleId="Tablaconcuadrcula">
    <w:name w:val="Table Grid"/>
    <w:basedOn w:val="Tablanormal"/>
    <w:uiPriority w:val="59"/>
    <w:rsid w:val="0072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5C0B"/>
    <w:pPr>
      <w:spacing w:before="100" w:beforeAutospacing="1" w:after="100" w:afterAutospacing="1"/>
    </w:pPr>
    <w:rPr>
      <w:rFonts w:ascii="Times New Roman" w:hAnsi="Times New Roman" w:cs="Times New Roman"/>
      <w:sz w:val="24"/>
      <w:szCs w:val="24"/>
    </w:rPr>
  </w:style>
  <w:style w:type="paragraph" w:styleId="Prrafodelista">
    <w:name w:val="List Paragraph"/>
    <w:basedOn w:val="Normal"/>
    <w:uiPriority w:val="34"/>
    <w:qFormat/>
    <w:rsid w:val="00AF5C0B"/>
    <w:pPr>
      <w:ind w:left="720"/>
      <w:contextualSpacing/>
    </w:pPr>
  </w:style>
  <w:style w:type="character" w:customStyle="1" w:styleId="apple-converted-space">
    <w:name w:val="apple-converted-space"/>
    <w:basedOn w:val="Fuentedeprrafopredeter"/>
    <w:rsid w:val="003733DE"/>
  </w:style>
  <w:style w:type="paragraph" w:customStyle="1" w:styleId="Default">
    <w:name w:val="Default"/>
    <w:rsid w:val="00C01912"/>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2235FF"/>
    <w:rPr>
      <w:rFonts w:ascii="Times New Roman" w:eastAsia="Times New Roman" w:hAnsi="Times New Roman" w:cs="Times New Roman"/>
      <w:b/>
      <w:bCs/>
      <w:sz w:val="36"/>
      <w:szCs w:val="36"/>
      <w:lang w:eastAsia="es-ES"/>
    </w:rPr>
  </w:style>
  <w:style w:type="character" w:customStyle="1" w:styleId="highlight">
    <w:name w:val="highlight"/>
    <w:basedOn w:val="Fuentedeprrafopredeter"/>
    <w:rsid w:val="002235FF"/>
  </w:style>
  <w:style w:type="character" w:customStyle="1" w:styleId="Ttulo1Car">
    <w:name w:val="Título 1 Car"/>
    <w:basedOn w:val="Fuentedeprrafopredeter"/>
    <w:link w:val="Ttulo1"/>
    <w:uiPriority w:val="9"/>
    <w:rsid w:val="00C1279A"/>
    <w:rPr>
      <w:rFonts w:asciiTheme="majorHAnsi" w:eastAsiaTheme="majorEastAsia" w:hAnsiTheme="majorHAnsi" w:cstheme="majorBidi"/>
      <w:b/>
      <w:bCs/>
      <w:color w:val="365F91" w:themeColor="accent1" w:themeShade="BF"/>
      <w:sz w:val="28"/>
      <w:szCs w:val="28"/>
      <w:lang w:eastAsia="es-ES"/>
    </w:rPr>
  </w:style>
  <w:style w:type="character" w:styleId="Hipervnculo">
    <w:name w:val="Hyperlink"/>
    <w:basedOn w:val="Fuentedeprrafopredeter"/>
    <w:uiPriority w:val="99"/>
    <w:unhideWhenUsed/>
    <w:rsid w:val="00174FB2"/>
    <w:rPr>
      <w:color w:val="0000FF" w:themeColor="hyperlink"/>
      <w:u w:val="single"/>
    </w:rPr>
  </w:style>
  <w:style w:type="character" w:customStyle="1" w:styleId="Ttulo3Car">
    <w:name w:val="Título 3 Car"/>
    <w:basedOn w:val="Fuentedeprrafopredeter"/>
    <w:link w:val="Ttulo3"/>
    <w:uiPriority w:val="9"/>
    <w:semiHidden/>
    <w:rsid w:val="00F5123E"/>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6208">
      <w:bodyDiv w:val="1"/>
      <w:marLeft w:val="0"/>
      <w:marRight w:val="0"/>
      <w:marTop w:val="0"/>
      <w:marBottom w:val="0"/>
      <w:divBdr>
        <w:top w:val="none" w:sz="0" w:space="0" w:color="auto"/>
        <w:left w:val="none" w:sz="0" w:space="0" w:color="auto"/>
        <w:bottom w:val="none" w:sz="0" w:space="0" w:color="auto"/>
        <w:right w:val="none" w:sz="0" w:space="0" w:color="auto"/>
      </w:divBdr>
      <w:divsChild>
        <w:div w:id="1820540345">
          <w:marLeft w:val="0"/>
          <w:marRight w:val="0"/>
          <w:marTop w:val="0"/>
          <w:marBottom w:val="0"/>
          <w:divBdr>
            <w:top w:val="single" w:sz="48" w:space="0" w:color="0077AA"/>
            <w:left w:val="none" w:sz="0" w:space="0" w:color="auto"/>
            <w:bottom w:val="none" w:sz="0" w:space="0" w:color="auto"/>
            <w:right w:val="none" w:sz="0" w:space="0" w:color="auto"/>
          </w:divBdr>
          <w:divsChild>
            <w:div w:id="374743472">
              <w:marLeft w:val="0"/>
              <w:marRight w:val="0"/>
              <w:marTop w:val="0"/>
              <w:marBottom w:val="0"/>
              <w:divBdr>
                <w:top w:val="none" w:sz="0" w:space="0" w:color="auto"/>
                <w:left w:val="none" w:sz="0" w:space="0" w:color="auto"/>
                <w:bottom w:val="none" w:sz="0" w:space="0" w:color="auto"/>
                <w:right w:val="none" w:sz="0" w:space="0" w:color="auto"/>
              </w:divBdr>
              <w:divsChild>
                <w:div w:id="1904875972">
                  <w:marLeft w:val="0"/>
                  <w:marRight w:val="0"/>
                  <w:marTop w:val="0"/>
                  <w:marBottom w:val="0"/>
                  <w:divBdr>
                    <w:top w:val="none" w:sz="0" w:space="0" w:color="auto"/>
                    <w:left w:val="none" w:sz="0" w:space="0" w:color="auto"/>
                    <w:bottom w:val="none" w:sz="0" w:space="0" w:color="auto"/>
                    <w:right w:val="none" w:sz="0" w:space="0" w:color="auto"/>
                  </w:divBdr>
                  <w:divsChild>
                    <w:div w:id="1789200734">
                      <w:marLeft w:val="75"/>
                      <w:marRight w:val="75"/>
                      <w:marTop w:val="150"/>
                      <w:marBottom w:val="75"/>
                      <w:divBdr>
                        <w:top w:val="none" w:sz="0" w:space="0" w:color="auto"/>
                        <w:left w:val="none" w:sz="0" w:space="0" w:color="auto"/>
                        <w:bottom w:val="none" w:sz="0" w:space="0" w:color="auto"/>
                        <w:right w:val="none" w:sz="0" w:space="0" w:color="auto"/>
                      </w:divBdr>
                      <w:divsChild>
                        <w:div w:id="1514227927">
                          <w:marLeft w:val="0"/>
                          <w:marRight w:val="0"/>
                          <w:marTop w:val="0"/>
                          <w:marBottom w:val="135"/>
                          <w:divBdr>
                            <w:top w:val="none" w:sz="0" w:space="0" w:color="auto"/>
                            <w:left w:val="none" w:sz="0" w:space="0" w:color="auto"/>
                            <w:bottom w:val="single" w:sz="6" w:space="7" w:color="DDDDDD"/>
                            <w:right w:val="none" w:sz="0" w:space="0" w:color="auto"/>
                          </w:divBdr>
                          <w:divsChild>
                            <w:div w:id="1971789962">
                              <w:marLeft w:val="0"/>
                              <w:marRight w:val="0"/>
                              <w:marTop w:val="0"/>
                              <w:marBottom w:val="0"/>
                              <w:divBdr>
                                <w:top w:val="none" w:sz="0" w:space="0" w:color="auto"/>
                                <w:left w:val="none" w:sz="0" w:space="0" w:color="auto"/>
                                <w:bottom w:val="none" w:sz="0" w:space="0" w:color="auto"/>
                                <w:right w:val="none" w:sz="0" w:space="0" w:color="auto"/>
                              </w:divBdr>
                              <w:divsChild>
                                <w:div w:id="4805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7831">
      <w:bodyDiv w:val="1"/>
      <w:marLeft w:val="0"/>
      <w:marRight w:val="0"/>
      <w:marTop w:val="0"/>
      <w:marBottom w:val="0"/>
      <w:divBdr>
        <w:top w:val="none" w:sz="0" w:space="0" w:color="auto"/>
        <w:left w:val="none" w:sz="0" w:space="0" w:color="auto"/>
        <w:bottom w:val="none" w:sz="0" w:space="0" w:color="auto"/>
        <w:right w:val="none" w:sz="0" w:space="0" w:color="auto"/>
      </w:divBdr>
    </w:div>
    <w:div w:id="501509655">
      <w:bodyDiv w:val="1"/>
      <w:marLeft w:val="0"/>
      <w:marRight w:val="0"/>
      <w:marTop w:val="0"/>
      <w:marBottom w:val="0"/>
      <w:divBdr>
        <w:top w:val="none" w:sz="0" w:space="0" w:color="auto"/>
        <w:left w:val="none" w:sz="0" w:space="0" w:color="auto"/>
        <w:bottom w:val="none" w:sz="0" w:space="0" w:color="auto"/>
        <w:right w:val="none" w:sz="0" w:space="0" w:color="auto"/>
      </w:divBdr>
    </w:div>
    <w:div w:id="1051421543">
      <w:bodyDiv w:val="1"/>
      <w:marLeft w:val="0"/>
      <w:marRight w:val="0"/>
      <w:marTop w:val="0"/>
      <w:marBottom w:val="0"/>
      <w:divBdr>
        <w:top w:val="none" w:sz="0" w:space="0" w:color="auto"/>
        <w:left w:val="none" w:sz="0" w:space="0" w:color="auto"/>
        <w:bottom w:val="none" w:sz="0" w:space="0" w:color="auto"/>
        <w:right w:val="none" w:sz="0" w:space="0" w:color="auto"/>
      </w:divBdr>
    </w:div>
    <w:div w:id="1457674951">
      <w:bodyDiv w:val="1"/>
      <w:marLeft w:val="0"/>
      <w:marRight w:val="0"/>
      <w:marTop w:val="0"/>
      <w:marBottom w:val="0"/>
      <w:divBdr>
        <w:top w:val="none" w:sz="0" w:space="0" w:color="auto"/>
        <w:left w:val="none" w:sz="0" w:space="0" w:color="auto"/>
        <w:bottom w:val="none" w:sz="0" w:space="0" w:color="auto"/>
        <w:right w:val="none" w:sz="0" w:space="0" w:color="auto"/>
      </w:divBdr>
      <w:divsChild>
        <w:div w:id="893203298">
          <w:marLeft w:val="0"/>
          <w:marRight w:val="0"/>
          <w:marTop w:val="0"/>
          <w:marBottom w:val="0"/>
          <w:divBdr>
            <w:top w:val="single" w:sz="48" w:space="0" w:color="0077AA"/>
            <w:left w:val="none" w:sz="0" w:space="0" w:color="auto"/>
            <w:bottom w:val="none" w:sz="0" w:space="0" w:color="auto"/>
            <w:right w:val="none" w:sz="0" w:space="0" w:color="auto"/>
          </w:divBdr>
          <w:divsChild>
            <w:div w:id="1555694253">
              <w:marLeft w:val="0"/>
              <w:marRight w:val="0"/>
              <w:marTop w:val="0"/>
              <w:marBottom w:val="0"/>
              <w:divBdr>
                <w:top w:val="none" w:sz="0" w:space="0" w:color="auto"/>
                <w:left w:val="none" w:sz="0" w:space="0" w:color="auto"/>
                <w:bottom w:val="none" w:sz="0" w:space="0" w:color="auto"/>
                <w:right w:val="none" w:sz="0" w:space="0" w:color="auto"/>
              </w:divBdr>
              <w:divsChild>
                <w:div w:id="100226984">
                  <w:marLeft w:val="0"/>
                  <w:marRight w:val="0"/>
                  <w:marTop w:val="0"/>
                  <w:marBottom w:val="0"/>
                  <w:divBdr>
                    <w:top w:val="none" w:sz="0" w:space="0" w:color="auto"/>
                    <w:left w:val="none" w:sz="0" w:space="0" w:color="auto"/>
                    <w:bottom w:val="none" w:sz="0" w:space="0" w:color="auto"/>
                    <w:right w:val="none" w:sz="0" w:space="0" w:color="auto"/>
                  </w:divBdr>
                  <w:divsChild>
                    <w:div w:id="1042904436">
                      <w:marLeft w:val="75"/>
                      <w:marRight w:val="75"/>
                      <w:marTop w:val="150"/>
                      <w:marBottom w:val="75"/>
                      <w:divBdr>
                        <w:top w:val="none" w:sz="0" w:space="0" w:color="auto"/>
                        <w:left w:val="none" w:sz="0" w:space="0" w:color="auto"/>
                        <w:bottom w:val="none" w:sz="0" w:space="0" w:color="auto"/>
                        <w:right w:val="none" w:sz="0" w:space="0" w:color="auto"/>
                      </w:divBdr>
                      <w:divsChild>
                        <w:div w:id="354382187">
                          <w:marLeft w:val="0"/>
                          <w:marRight w:val="0"/>
                          <w:marTop w:val="0"/>
                          <w:marBottom w:val="135"/>
                          <w:divBdr>
                            <w:top w:val="none" w:sz="0" w:space="0" w:color="auto"/>
                            <w:left w:val="none" w:sz="0" w:space="0" w:color="auto"/>
                            <w:bottom w:val="single" w:sz="6" w:space="7" w:color="DDDDDD"/>
                            <w:right w:val="none" w:sz="0" w:space="0" w:color="auto"/>
                          </w:divBdr>
                          <w:divsChild>
                            <w:div w:id="1371958567">
                              <w:marLeft w:val="0"/>
                              <w:marRight w:val="0"/>
                              <w:marTop w:val="0"/>
                              <w:marBottom w:val="0"/>
                              <w:divBdr>
                                <w:top w:val="none" w:sz="0" w:space="0" w:color="auto"/>
                                <w:left w:val="none" w:sz="0" w:space="0" w:color="auto"/>
                                <w:bottom w:val="none" w:sz="0" w:space="0" w:color="auto"/>
                                <w:right w:val="none" w:sz="0" w:space="0" w:color="auto"/>
                              </w:divBdr>
                              <w:divsChild>
                                <w:div w:id="2848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940674">
      <w:bodyDiv w:val="1"/>
      <w:marLeft w:val="0"/>
      <w:marRight w:val="0"/>
      <w:marTop w:val="0"/>
      <w:marBottom w:val="0"/>
      <w:divBdr>
        <w:top w:val="none" w:sz="0" w:space="0" w:color="auto"/>
        <w:left w:val="none" w:sz="0" w:space="0" w:color="auto"/>
        <w:bottom w:val="none" w:sz="0" w:space="0" w:color="auto"/>
        <w:right w:val="none" w:sz="0" w:space="0" w:color="auto"/>
      </w:divBdr>
    </w:div>
    <w:div w:id="2019654381">
      <w:bodyDiv w:val="1"/>
      <w:marLeft w:val="0"/>
      <w:marRight w:val="0"/>
      <w:marTop w:val="0"/>
      <w:marBottom w:val="0"/>
      <w:divBdr>
        <w:top w:val="none" w:sz="0" w:space="0" w:color="auto"/>
        <w:left w:val="none" w:sz="0" w:space="0" w:color="auto"/>
        <w:bottom w:val="none" w:sz="0" w:space="0" w:color="auto"/>
        <w:right w:val="none" w:sz="0" w:space="0" w:color="auto"/>
      </w:divBdr>
    </w:div>
    <w:div w:id="20800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FE86-9E3D-4981-8764-4F89DFE2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4</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Vegas Aguado</dc:creator>
  <cp:lastModifiedBy>Rocio Milano Nuñez</cp:lastModifiedBy>
  <cp:revision>57</cp:revision>
  <cp:lastPrinted>2022-06-22T11:17:00Z</cp:lastPrinted>
  <dcterms:created xsi:type="dcterms:W3CDTF">2018-04-10T11:45:00Z</dcterms:created>
  <dcterms:modified xsi:type="dcterms:W3CDTF">2022-06-22T12:10:00Z</dcterms:modified>
</cp:coreProperties>
</file>